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64510747"/>
        <w:docPartObj>
          <w:docPartGallery w:val="Cover Pages"/>
          <w:docPartUnique/>
        </w:docPartObj>
      </w:sdtPr>
      <w:sdtEndPr>
        <w:rPr>
          <w:b/>
          <w:bCs/>
        </w:rPr>
      </w:sdtEndPr>
      <w:sdtContent>
        <w:p w14:paraId="36D84E13" w14:textId="26B08EFA" w:rsidR="00C4055D" w:rsidRDefault="00C4055D"/>
        <w:p w14:paraId="6712927A" w14:textId="190D1A24" w:rsidR="00C4055D" w:rsidRDefault="00C4055D">
          <w:pPr>
            <w:rPr>
              <w:b/>
              <w:bCs/>
            </w:rPr>
          </w:pPr>
          <w:r>
            <w:rPr>
              <w:noProof/>
            </w:rPr>
            <mc:AlternateContent>
              <mc:Choice Requires="wps">
                <w:drawing>
                  <wp:anchor distT="0" distB="0" distL="182880" distR="182880" simplePos="0" relativeHeight="251660288" behindDoc="0" locked="0" layoutInCell="1" allowOverlap="1" wp14:anchorId="34C31494" wp14:editId="01C8CD8C">
                    <wp:simplePos x="0" y="0"/>
                    <mc:AlternateContent>
                      <mc:Choice Requires="wp14">
                        <wp:positionH relativeFrom="margin">
                          <wp14:pctPosHOffset>7700</wp14:pctPosHOffset>
                        </wp:positionH>
                      </mc:Choice>
                      <mc:Fallback>
                        <wp:positionH relativeFrom="page">
                          <wp:posOffset>1371600</wp:posOffset>
                        </wp:positionH>
                      </mc:Fallback>
                    </mc:AlternateContent>
                    <mc:AlternateContent>
                      <mc:Choice Requires="wp14">
                        <wp:positionV relativeFrom="page">
                          <wp14:pctPosVOffset>54000</wp14:pctPosVOffset>
                        </wp:positionV>
                      </mc:Choice>
                      <mc:Fallback>
                        <wp:positionV relativeFrom="page">
                          <wp:posOffset>5431155</wp:posOffset>
                        </wp:positionV>
                      </mc:Fallback>
                    </mc:AlternateContent>
                    <wp:extent cx="4686300" cy="2004060"/>
                    <wp:effectExtent l="0" t="0" r="10160" b="1524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2004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8A41AA" w14:textId="2A6BA4EF" w:rsidR="00C4055D" w:rsidRDefault="00000000">
                                <w:pPr>
                                  <w:pStyle w:val="NoSpacing"/>
                                  <w:spacing w:before="40" w:after="560" w:line="216" w:lineRule="auto"/>
                                  <w:rPr>
                                    <w:color w:val="156082" w:themeColor="accent1"/>
                                    <w:sz w:val="72"/>
                                    <w:szCs w:val="72"/>
                                  </w:rPr>
                                </w:pPr>
                                <w:sdt>
                                  <w:sdtPr>
                                    <w:rPr>
                                      <w:color w:val="156082"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C4055D">
                                      <w:rPr>
                                        <w:color w:val="156082" w:themeColor="accent1"/>
                                        <w:sz w:val="72"/>
                                        <w:szCs w:val="72"/>
                                      </w:rPr>
                                      <w:t>Legal Memorandum</w:t>
                                    </w:r>
                                  </w:sdtContent>
                                </w:sdt>
                              </w:p>
                              <w:sdt>
                                <w:sdtPr>
                                  <w:rPr>
                                    <w:caps/>
                                    <w:color w:val="501549"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2905ED74" w14:textId="3A6DD40F" w:rsidR="00C4055D" w:rsidRDefault="00C4055D">
                                    <w:pPr>
                                      <w:pStyle w:val="NoSpacing"/>
                                      <w:spacing w:before="40" w:after="40"/>
                                      <w:rPr>
                                        <w:caps/>
                                        <w:color w:val="501549" w:themeColor="accent5" w:themeShade="80"/>
                                        <w:sz w:val="28"/>
                                        <w:szCs w:val="28"/>
                                      </w:rPr>
                                    </w:pPr>
                                    <w:r>
                                      <w:rPr>
                                        <w:caps/>
                                        <w:color w:val="501549" w:themeColor="accent5" w:themeShade="80"/>
                                        <w:sz w:val="28"/>
                                        <w:szCs w:val="28"/>
                                      </w:rPr>
                                      <w:t>Enforceability of Non-compete agreement - XYZ Corp. v. jane doe</w:t>
                                    </w:r>
                                  </w:p>
                                </w:sdtContent>
                              </w:sdt>
                              <w:sdt>
                                <w:sdtPr>
                                  <w:rPr>
                                    <w:caps/>
                                    <w:color w:val="A02B93"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637334AF" w14:textId="11BA2E78" w:rsidR="00C4055D" w:rsidRDefault="00C4055D">
                                    <w:pPr>
                                      <w:pStyle w:val="NoSpacing"/>
                                      <w:spacing w:before="80" w:after="40"/>
                                      <w:rPr>
                                        <w:caps/>
                                        <w:color w:val="A02B93" w:themeColor="accent5"/>
                                        <w:sz w:val="24"/>
                                        <w:szCs w:val="24"/>
                                      </w:rPr>
                                    </w:pPr>
                                    <w:r>
                                      <w:rPr>
                                        <w:caps/>
                                        <w:color w:val="A02B93" w:themeColor="accent5"/>
                                        <w:sz w:val="24"/>
                                        <w:szCs w:val="24"/>
                                      </w:rPr>
                                      <w:t>Addilyn Goodno</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79000</wp14:pctWidth>
                    </wp14:sizeRelH>
                    <wp14:sizeRelV relativeFrom="page">
                      <wp14:pctHeight>0</wp14:pctHeight>
                    </wp14:sizeRelV>
                  </wp:anchor>
                </w:drawing>
              </mc:Choice>
              <mc:Fallback>
                <w:pict>
                  <v:shapetype w14:anchorId="34C31494" id="_x0000_t202" coordsize="21600,21600" o:spt="202" path="m,l,21600r21600,l21600,xe">
                    <v:stroke joinstyle="miter"/>
                    <v:path gradientshapeok="t" o:connecttype="rect"/>
                  </v:shapetype>
                  <v:shape id="Text Box 131" o:spid="_x0000_s1026" type="#_x0000_t202" style="position:absolute;margin-left:0;margin-top:0;width:369pt;height:157.8pt;z-index:251660288;visibility:visible;mso-wrap-style:square;mso-width-percent:790;mso-height-percent:0;mso-left-percent:77;mso-top-percent:540;mso-wrap-distance-left:14.4pt;mso-wrap-distance-top:0;mso-wrap-distance-right:14.4pt;mso-wrap-distance-bottom:0;mso-position-horizontal-relative:margin;mso-position-vertical-relative:page;mso-width-percent:790;mso-height-percent: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" filled="f" stroked="f" strokeweight=".5pt">
                    <v:textbox inset="0,0,0,0">
                      <w:txbxContent>
                        <w:p w14:paraId="4E8A41AA" w14:textId="2A6BA4EF" w:rsidR="00C4055D" w:rsidRDefault="00000000">
                          <w:pPr>
                            <w:pStyle w:val="NoSpacing"/>
                            <w:spacing w:before="40" w:after="560" w:line="216" w:lineRule="auto"/>
                            <w:rPr>
                              <w:color w:val="156082" w:themeColor="accent1"/>
                              <w:sz w:val="72"/>
                              <w:szCs w:val="72"/>
                            </w:rPr>
                          </w:pPr>
                          <w:sdt>
                            <w:sdtPr>
                              <w:rPr>
                                <w:color w:val="156082"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C4055D">
                                <w:rPr>
                                  <w:color w:val="156082" w:themeColor="accent1"/>
                                  <w:sz w:val="72"/>
                                  <w:szCs w:val="72"/>
                                </w:rPr>
                                <w:t>Legal Memorandum</w:t>
                              </w:r>
                            </w:sdtContent>
                          </w:sdt>
                        </w:p>
                        <w:sdt>
                          <w:sdtPr>
                            <w:rPr>
                              <w:caps/>
                              <w:color w:val="501549"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2905ED74" w14:textId="3A6DD40F" w:rsidR="00C4055D" w:rsidRDefault="00C4055D">
                              <w:pPr>
                                <w:pStyle w:val="NoSpacing"/>
                                <w:spacing w:before="40" w:after="40"/>
                                <w:rPr>
                                  <w:caps/>
                                  <w:color w:val="501549" w:themeColor="accent5" w:themeShade="80"/>
                                  <w:sz w:val="28"/>
                                  <w:szCs w:val="28"/>
                                </w:rPr>
                              </w:pPr>
                              <w:r>
                                <w:rPr>
                                  <w:caps/>
                                  <w:color w:val="501549" w:themeColor="accent5" w:themeShade="80"/>
                                  <w:sz w:val="28"/>
                                  <w:szCs w:val="28"/>
                                </w:rPr>
                                <w:t>Enforceability of Non-compete agreement - XYZ Corp. v. jane doe</w:t>
                              </w:r>
                            </w:p>
                          </w:sdtContent>
                        </w:sdt>
                        <w:sdt>
                          <w:sdtPr>
                            <w:rPr>
                              <w:caps/>
                              <w:color w:val="A02B93"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637334AF" w14:textId="11BA2E78" w:rsidR="00C4055D" w:rsidRDefault="00C4055D">
                              <w:pPr>
                                <w:pStyle w:val="NoSpacing"/>
                                <w:spacing w:before="80" w:after="40"/>
                                <w:rPr>
                                  <w:caps/>
                                  <w:color w:val="A02B93" w:themeColor="accent5"/>
                                  <w:sz w:val="24"/>
                                  <w:szCs w:val="24"/>
                                </w:rPr>
                              </w:pPr>
                              <w:r>
                                <w:rPr>
                                  <w:caps/>
                                  <w:color w:val="A02B93" w:themeColor="accent5"/>
                                  <w:sz w:val="24"/>
                                  <w:szCs w:val="24"/>
                                </w:rPr>
                                <w:t>Addilyn Goodno</w:t>
                              </w:r>
                            </w:p>
                          </w:sdtContent>
                        </w:sdt>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0999C231" wp14:editId="2E063166">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5-09-01T00:00:00Z">
                                    <w:dateFormat w:val="yyyy"/>
                                    <w:lid w:val="en-US"/>
                                    <w:storeMappedDataAs w:val="dateTime"/>
                                    <w:calendar w:val="gregorian"/>
                                  </w:date>
                                </w:sdtPr>
                                <w:sdtContent>
                                  <w:p w14:paraId="55B90A98" w14:textId="496CCCD3" w:rsidR="00C4055D" w:rsidRDefault="00C4055D">
                                    <w:pPr>
                                      <w:pStyle w:val="NoSpacing"/>
                                      <w:jc w:val="right"/>
                                      <w:rPr>
                                        <w:color w:val="FFFFFF" w:themeColor="background1"/>
                                        <w:sz w:val="24"/>
                                        <w:szCs w:val="24"/>
                                      </w:rPr>
                                    </w:pPr>
                                    <w:r>
                                      <w:rPr>
                                        <w:color w:val="FFFFFF" w:themeColor="background1"/>
                                        <w:sz w:val="24"/>
                                        <w:szCs w:val="24"/>
                                      </w:rPr>
                                      <w:t>2025</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0</wp14:pctHeight>
                    </wp14:sizeRelV>
                  </wp:anchor>
                </w:drawing>
              </mc:Choice>
              <mc:Fallback>
                <w:pict>
                  <v:rect w14:anchorId="0999C231" id="Rectangle 132" o:spid="_x0000_s1027" style="position:absolute;margin-left:-4.4pt;margin-top:0;width:46.8pt;height:77.75pt;z-index:251659264;visibility:visible;mso-wrap-style:square;mso-width-percent:76;mso-height-percent:0;mso-top-percent:23;mso-wrap-distance-left:9pt;mso-wrap-distance-top:0;mso-wrap-distance-right:9pt;mso-wrap-distance-bottom:0;mso-position-horizontal:right;mso-position-horizontal-relative:margin;mso-position-vertical-relative:page;mso-width-percent:76;mso-height-percent:0;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" fillcolor="#156082 [3204]" stroked="f" strokeweight="1.5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5-09-01T00:00:00Z">
                              <w:dateFormat w:val="yyyy"/>
                              <w:lid w:val="en-US"/>
                              <w:storeMappedDataAs w:val="dateTime"/>
                              <w:calendar w:val="gregorian"/>
                            </w:date>
                          </w:sdtPr>
                          <w:sdtContent>
                            <w:p w14:paraId="55B90A98" w14:textId="496CCCD3" w:rsidR="00C4055D" w:rsidRDefault="00C4055D">
                              <w:pPr>
                                <w:pStyle w:val="NoSpacing"/>
                                <w:jc w:val="right"/>
                                <w:rPr>
                                  <w:color w:val="FFFFFF" w:themeColor="background1"/>
                                  <w:sz w:val="24"/>
                                  <w:szCs w:val="24"/>
                                </w:rPr>
                              </w:pPr>
                              <w:r>
                                <w:rPr>
                                  <w:color w:val="FFFFFF" w:themeColor="background1"/>
                                  <w:sz w:val="24"/>
                                  <w:szCs w:val="24"/>
                                </w:rPr>
                                <w:t>2025</w:t>
                              </w:r>
                            </w:p>
                          </w:sdtContent>
                        </w:sdt>
                      </w:txbxContent>
                    </v:textbox>
                    <w10:wrap anchorx="margin" anchory="page"/>
                  </v:rect>
                </w:pict>
              </mc:Fallback>
            </mc:AlternateContent>
          </w:r>
          <w:r>
            <w:rPr>
              <w:b/>
              <w:bCs/>
            </w:rPr>
            <w:br w:type="page"/>
          </w:r>
        </w:p>
      </w:sdtContent>
    </w:sdt>
    <w:sdt>
      <w:sdtPr>
        <w:rPr>
          <w:rFonts w:asciiTheme="minorHAnsi" w:eastAsiaTheme="minorHAnsi" w:hAnsiTheme="minorHAnsi" w:cstheme="minorBidi"/>
          <w:color w:val="auto"/>
          <w:kern w:val="2"/>
          <w:sz w:val="24"/>
          <w:szCs w:val="24"/>
          <w14:ligatures w14:val="standardContextual"/>
        </w:rPr>
        <w:id w:val="-1850785605"/>
        <w:docPartObj>
          <w:docPartGallery w:val="Table of Contents"/>
          <w:docPartUnique/>
        </w:docPartObj>
      </w:sdtPr>
      <w:sdtEndPr>
        <w:rPr>
          <w:b/>
          <w:bCs/>
          <w:noProof/>
        </w:rPr>
      </w:sdtEndPr>
      <w:sdtContent>
        <w:p w14:paraId="58D966C3" w14:textId="5F7FE744" w:rsidR="00F55D5D" w:rsidRDefault="00F55D5D">
          <w:pPr>
            <w:pStyle w:val="TOCHeading"/>
          </w:pPr>
          <w:r>
            <w:t>Contents</w:t>
          </w:r>
        </w:p>
        <w:p w14:paraId="6F70A7DE" w14:textId="191E85C4" w:rsidR="00015C78" w:rsidRDefault="00F55D5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09029394" w:history="1">
            <w:r w:rsidR="00015C78" w:rsidRPr="00272BA2">
              <w:rPr>
                <w:rStyle w:val="Hyperlink"/>
                <w:noProof/>
              </w:rPr>
              <w:t>Question Presented</w:t>
            </w:r>
            <w:r w:rsidR="00015C78">
              <w:rPr>
                <w:noProof/>
                <w:webHidden/>
              </w:rPr>
              <w:tab/>
            </w:r>
            <w:r w:rsidR="00015C78">
              <w:rPr>
                <w:noProof/>
                <w:webHidden/>
              </w:rPr>
              <w:fldChar w:fldCharType="begin"/>
            </w:r>
            <w:r w:rsidR="00015C78">
              <w:rPr>
                <w:noProof/>
                <w:webHidden/>
              </w:rPr>
              <w:instrText xml:space="preserve"> PAGEREF _Toc209029394 \h </w:instrText>
            </w:r>
            <w:r w:rsidR="00015C78">
              <w:rPr>
                <w:noProof/>
                <w:webHidden/>
              </w:rPr>
            </w:r>
            <w:r w:rsidR="00015C78">
              <w:rPr>
                <w:noProof/>
                <w:webHidden/>
              </w:rPr>
              <w:fldChar w:fldCharType="separate"/>
            </w:r>
            <w:r w:rsidR="00015C78">
              <w:rPr>
                <w:noProof/>
                <w:webHidden/>
              </w:rPr>
              <w:t>2</w:t>
            </w:r>
            <w:r w:rsidR="00015C78">
              <w:rPr>
                <w:noProof/>
                <w:webHidden/>
              </w:rPr>
              <w:fldChar w:fldCharType="end"/>
            </w:r>
          </w:hyperlink>
        </w:p>
        <w:p w14:paraId="4FE4DA32" w14:textId="380B904D" w:rsidR="00015C78" w:rsidRDefault="00015C78">
          <w:pPr>
            <w:pStyle w:val="TOC1"/>
            <w:tabs>
              <w:tab w:val="right" w:leader="dot" w:pos="9350"/>
            </w:tabs>
            <w:rPr>
              <w:rFonts w:eastAsiaTheme="minorEastAsia"/>
              <w:noProof/>
            </w:rPr>
          </w:pPr>
          <w:hyperlink w:anchor="_Toc209029395" w:history="1">
            <w:r w:rsidRPr="00272BA2">
              <w:rPr>
                <w:rStyle w:val="Hyperlink"/>
                <w:noProof/>
              </w:rPr>
              <w:t>Brief Answer</w:t>
            </w:r>
            <w:r>
              <w:rPr>
                <w:noProof/>
                <w:webHidden/>
              </w:rPr>
              <w:tab/>
            </w:r>
            <w:r>
              <w:rPr>
                <w:noProof/>
                <w:webHidden/>
              </w:rPr>
              <w:fldChar w:fldCharType="begin"/>
            </w:r>
            <w:r>
              <w:rPr>
                <w:noProof/>
                <w:webHidden/>
              </w:rPr>
              <w:instrText xml:space="preserve"> PAGEREF _Toc209029395 \h </w:instrText>
            </w:r>
            <w:r>
              <w:rPr>
                <w:noProof/>
                <w:webHidden/>
              </w:rPr>
            </w:r>
            <w:r>
              <w:rPr>
                <w:noProof/>
                <w:webHidden/>
              </w:rPr>
              <w:fldChar w:fldCharType="separate"/>
            </w:r>
            <w:r>
              <w:rPr>
                <w:noProof/>
                <w:webHidden/>
              </w:rPr>
              <w:t>2</w:t>
            </w:r>
            <w:r>
              <w:rPr>
                <w:noProof/>
                <w:webHidden/>
              </w:rPr>
              <w:fldChar w:fldCharType="end"/>
            </w:r>
          </w:hyperlink>
        </w:p>
        <w:p w14:paraId="19939565" w14:textId="0AE4B256" w:rsidR="00015C78" w:rsidRDefault="00015C78">
          <w:pPr>
            <w:pStyle w:val="TOC1"/>
            <w:tabs>
              <w:tab w:val="right" w:leader="dot" w:pos="9350"/>
            </w:tabs>
            <w:rPr>
              <w:rFonts w:eastAsiaTheme="minorEastAsia"/>
              <w:noProof/>
            </w:rPr>
          </w:pPr>
          <w:hyperlink w:anchor="_Toc209029396" w:history="1">
            <w:r>
              <w:rPr>
                <w:noProof/>
                <w:webHidden/>
              </w:rPr>
              <w:tab/>
            </w:r>
            <w:r>
              <w:rPr>
                <w:noProof/>
                <w:webHidden/>
              </w:rPr>
              <w:fldChar w:fldCharType="begin"/>
            </w:r>
            <w:r>
              <w:rPr>
                <w:noProof/>
                <w:webHidden/>
              </w:rPr>
              <w:instrText xml:space="preserve"> PAGEREF _Toc209029396 \h </w:instrText>
            </w:r>
            <w:r>
              <w:rPr>
                <w:noProof/>
                <w:webHidden/>
              </w:rPr>
            </w:r>
            <w:r>
              <w:rPr>
                <w:noProof/>
                <w:webHidden/>
              </w:rPr>
              <w:fldChar w:fldCharType="separate"/>
            </w:r>
            <w:r>
              <w:rPr>
                <w:noProof/>
                <w:webHidden/>
              </w:rPr>
              <w:t>2</w:t>
            </w:r>
            <w:r>
              <w:rPr>
                <w:noProof/>
                <w:webHidden/>
              </w:rPr>
              <w:fldChar w:fldCharType="end"/>
            </w:r>
          </w:hyperlink>
        </w:p>
        <w:p w14:paraId="4DD70661" w14:textId="70F4188F" w:rsidR="00015C78" w:rsidRDefault="00015C78">
          <w:pPr>
            <w:pStyle w:val="TOC1"/>
            <w:tabs>
              <w:tab w:val="right" w:leader="dot" w:pos="9350"/>
            </w:tabs>
            <w:rPr>
              <w:rFonts w:eastAsiaTheme="minorEastAsia"/>
              <w:noProof/>
            </w:rPr>
          </w:pPr>
          <w:hyperlink w:anchor="_Toc209029397" w:history="1">
            <w:r w:rsidRPr="00272BA2">
              <w:rPr>
                <w:rStyle w:val="Hyperlink"/>
                <w:noProof/>
              </w:rPr>
              <w:t>Statement of Facts</w:t>
            </w:r>
            <w:r>
              <w:rPr>
                <w:noProof/>
                <w:webHidden/>
              </w:rPr>
              <w:tab/>
            </w:r>
            <w:r>
              <w:rPr>
                <w:noProof/>
                <w:webHidden/>
              </w:rPr>
              <w:fldChar w:fldCharType="begin"/>
            </w:r>
            <w:r>
              <w:rPr>
                <w:noProof/>
                <w:webHidden/>
              </w:rPr>
              <w:instrText xml:space="preserve"> PAGEREF _Toc209029397 \h </w:instrText>
            </w:r>
            <w:r>
              <w:rPr>
                <w:noProof/>
                <w:webHidden/>
              </w:rPr>
            </w:r>
            <w:r>
              <w:rPr>
                <w:noProof/>
                <w:webHidden/>
              </w:rPr>
              <w:fldChar w:fldCharType="separate"/>
            </w:r>
            <w:r>
              <w:rPr>
                <w:noProof/>
                <w:webHidden/>
              </w:rPr>
              <w:t>2</w:t>
            </w:r>
            <w:r>
              <w:rPr>
                <w:noProof/>
                <w:webHidden/>
              </w:rPr>
              <w:fldChar w:fldCharType="end"/>
            </w:r>
          </w:hyperlink>
        </w:p>
        <w:p w14:paraId="4D1C840A" w14:textId="5E33C6D7" w:rsidR="00015C78" w:rsidRDefault="00015C78">
          <w:pPr>
            <w:pStyle w:val="TOC1"/>
            <w:tabs>
              <w:tab w:val="right" w:leader="dot" w:pos="9350"/>
            </w:tabs>
            <w:rPr>
              <w:rFonts w:eastAsiaTheme="minorEastAsia"/>
              <w:noProof/>
            </w:rPr>
          </w:pPr>
          <w:hyperlink w:anchor="_Toc209029398" w:history="1">
            <w:r w:rsidRPr="00272BA2">
              <w:rPr>
                <w:rStyle w:val="Hyperlink"/>
                <w:noProof/>
              </w:rPr>
              <w:t>Discussion and Analysis</w:t>
            </w:r>
            <w:r>
              <w:rPr>
                <w:noProof/>
                <w:webHidden/>
              </w:rPr>
              <w:tab/>
            </w:r>
            <w:r>
              <w:rPr>
                <w:noProof/>
                <w:webHidden/>
              </w:rPr>
              <w:fldChar w:fldCharType="begin"/>
            </w:r>
            <w:r>
              <w:rPr>
                <w:noProof/>
                <w:webHidden/>
              </w:rPr>
              <w:instrText xml:space="preserve"> PAGEREF _Toc209029398 \h </w:instrText>
            </w:r>
            <w:r>
              <w:rPr>
                <w:noProof/>
                <w:webHidden/>
              </w:rPr>
            </w:r>
            <w:r>
              <w:rPr>
                <w:noProof/>
                <w:webHidden/>
              </w:rPr>
              <w:fldChar w:fldCharType="separate"/>
            </w:r>
            <w:r>
              <w:rPr>
                <w:noProof/>
                <w:webHidden/>
              </w:rPr>
              <w:t>4</w:t>
            </w:r>
            <w:r>
              <w:rPr>
                <w:noProof/>
                <w:webHidden/>
              </w:rPr>
              <w:fldChar w:fldCharType="end"/>
            </w:r>
          </w:hyperlink>
        </w:p>
        <w:p w14:paraId="5A025470" w14:textId="198DE32D" w:rsidR="00015C78" w:rsidRDefault="00015C78">
          <w:pPr>
            <w:pStyle w:val="TOC2"/>
            <w:tabs>
              <w:tab w:val="right" w:leader="dot" w:pos="9350"/>
            </w:tabs>
            <w:rPr>
              <w:rFonts w:eastAsiaTheme="minorEastAsia"/>
              <w:noProof/>
            </w:rPr>
          </w:pPr>
          <w:hyperlink w:anchor="_Toc209029399" w:history="1">
            <w:r w:rsidRPr="00272BA2">
              <w:rPr>
                <w:rStyle w:val="Hyperlink"/>
                <w:noProof/>
              </w:rPr>
              <w:t>Applicable Law (Hawai</w:t>
            </w:r>
            <w:r w:rsidRPr="00272BA2">
              <w:rPr>
                <w:rStyle w:val="Hyperlink"/>
                <w:rFonts w:ascii="Arial" w:hAnsi="Arial" w:cs="Arial"/>
                <w:noProof/>
              </w:rPr>
              <w:t>ʻ</w:t>
            </w:r>
            <w:r w:rsidRPr="00272BA2">
              <w:rPr>
                <w:rStyle w:val="Hyperlink"/>
                <w:noProof/>
              </w:rPr>
              <w:t>i)</w:t>
            </w:r>
            <w:r>
              <w:rPr>
                <w:noProof/>
                <w:webHidden/>
              </w:rPr>
              <w:tab/>
            </w:r>
            <w:r>
              <w:rPr>
                <w:noProof/>
                <w:webHidden/>
              </w:rPr>
              <w:fldChar w:fldCharType="begin"/>
            </w:r>
            <w:r>
              <w:rPr>
                <w:noProof/>
                <w:webHidden/>
              </w:rPr>
              <w:instrText xml:space="preserve"> PAGEREF _Toc209029399 \h </w:instrText>
            </w:r>
            <w:r>
              <w:rPr>
                <w:noProof/>
                <w:webHidden/>
              </w:rPr>
            </w:r>
            <w:r>
              <w:rPr>
                <w:noProof/>
                <w:webHidden/>
              </w:rPr>
              <w:fldChar w:fldCharType="separate"/>
            </w:r>
            <w:r>
              <w:rPr>
                <w:noProof/>
                <w:webHidden/>
              </w:rPr>
              <w:t>4</w:t>
            </w:r>
            <w:r>
              <w:rPr>
                <w:noProof/>
                <w:webHidden/>
              </w:rPr>
              <w:fldChar w:fldCharType="end"/>
            </w:r>
          </w:hyperlink>
        </w:p>
        <w:p w14:paraId="266E409A" w14:textId="0595AF13" w:rsidR="00015C78" w:rsidRDefault="00015C78">
          <w:pPr>
            <w:pStyle w:val="TOC2"/>
            <w:tabs>
              <w:tab w:val="right" w:leader="dot" w:pos="9350"/>
            </w:tabs>
            <w:rPr>
              <w:rFonts w:eastAsiaTheme="minorEastAsia"/>
              <w:noProof/>
            </w:rPr>
          </w:pPr>
          <w:hyperlink w:anchor="_Toc209029400" w:history="1">
            <w:r w:rsidRPr="00272BA2">
              <w:rPr>
                <w:rStyle w:val="Hyperlink"/>
                <w:noProof/>
              </w:rPr>
              <w:t>Application to the Doe Agreement</w:t>
            </w:r>
            <w:r>
              <w:rPr>
                <w:noProof/>
                <w:webHidden/>
              </w:rPr>
              <w:tab/>
            </w:r>
            <w:r>
              <w:rPr>
                <w:noProof/>
                <w:webHidden/>
              </w:rPr>
              <w:fldChar w:fldCharType="begin"/>
            </w:r>
            <w:r>
              <w:rPr>
                <w:noProof/>
                <w:webHidden/>
              </w:rPr>
              <w:instrText xml:space="preserve"> PAGEREF _Toc209029400 \h </w:instrText>
            </w:r>
            <w:r>
              <w:rPr>
                <w:noProof/>
                <w:webHidden/>
              </w:rPr>
            </w:r>
            <w:r>
              <w:rPr>
                <w:noProof/>
                <w:webHidden/>
              </w:rPr>
              <w:fldChar w:fldCharType="separate"/>
            </w:r>
            <w:r>
              <w:rPr>
                <w:noProof/>
                <w:webHidden/>
              </w:rPr>
              <w:t>5</w:t>
            </w:r>
            <w:r>
              <w:rPr>
                <w:noProof/>
                <w:webHidden/>
              </w:rPr>
              <w:fldChar w:fldCharType="end"/>
            </w:r>
          </w:hyperlink>
        </w:p>
        <w:p w14:paraId="6EB12DB5" w14:textId="32AA7047" w:rsidR="00015C78" w:rsidRDefault="00015C78">
          <w:pPr>
            <w:pStyle w:val="TOC1"/>
            <w:tabs>
              <w:tab w:val="right" w:leader="dot" w:pos="9350"/>
            </w:tabs>
            <w:rPr>
              <w:rFonts w:eastAsiaTheme="minorEastAsia"/>
              <w:noProof/>
            </w:rPr>
          </w:pPr>
          <w:hyperlink w:anchor="_Toc209029401" w:history="1">
            <w:r w:rsidRPr="00272BA2">
              <w:rPr>
                <w:rStyle w:val="Hyperlink"/>
                <w:noProof/>
              </w:rPr>
              <w:t>Conclusion</w:t>
            </w:r>
            <w:r>
              <w:rPr>
                <w:noProof/>
                <w:webHidden/>
              </w:rPr>
              <w:tab/>
            </w:r>
            <w:r>
              <w:rPr>
                <w:noProof/>
                <w:webHidden/>
              </w:rPr>
              <w:fldChar w:fldCharType="begin"/>
            </w:r>
            <w:r>
              <w:rPr>
                <w:noProof/>
                <w:webHidden/>
              </w:rPr>
              <w:instrText xml:space="preserve"> PAGEREF _Toc209029401 \h </w:instrText>
            </w:r>
            <w:r>
              <w:rPr>
                <w:noProof/>
                <w:webHidden/>
              </w:rPr>
            </w:r>
            <w:r>
              <w:rPr>
                <w:noProof/>
                <w:webHidden/>
              </w:rPr>
              <w:fldChar w:fldCharType="separate"/>
            </w:r>
            <w:r>
              <w:rPr>
                <w:noProof/>
                <w:webHidden/>
              </w:rPr>
              <w:t>0</w:t>
            </w:r>
            <w:r>
              <w:rPr>
                <w:noProof/>
                <w:webHidden/>
              </w:rPr>
              <w:fldChar w:fldCharType="end"/>
            </w:r>
          </w:hyperlink>
        </w:p>
        <w:p w14:paraId="1E3369D3" w14:textId="176223B4" w:rsidR="00015C78" w:rsidRDefault="00015C78">
          <w:pPr>
            <w:pStyle w:val="TOC1"/>
            <w:tabs>
              <w:tab w:val="right" w:leader="dot" w:pos="9350"/>
            </w:tabs>
            <w:rPr>
              <w:rFonts w:eastAsiaTheme="minorEastAsia"/>
              <w:noProof/>
            </w:rPr>
          </w:pPr>
          <w:hyperlink w:anchor="_Toc209029402" w:history="1">
            <w:r w:rsidRPr="00272BA2">
              <w:rPr>
                <w:rStyle w:val="Hyperlink"/>
                <w:noProof/>
              </w:rPr>
              <w:t>Recommendations</w:t>
            </w:r>
            <w:r>
              <w:rPr>
                <w:noProof/>
                <w:webHidden/>
              </w:rPr>
              <w:tab/>
            </w:r>
            <w:r>
              <w:rPr>
                <w:noProof/>
                <w:webHidden/>
              </w:rPr>
              <w:fldChar w:fldCharType="begin"/>
            </w:r>
            <w:r>
              <w:rPr>
                <w:noProof/>
                <w:webHidden/>
              </w:rPr>
              <w:instrText xml:space="preserve"> PAGEREF _Toc209029402 \h </w:instrText>
            </w:r>
            <w:r>
              <w:rPr>
                <w:noProof/>
                <w:webHidden/>
              </w:rPr>
            </w:r>
            <w:r>
              <w:rPr>
                <w:noProof/>
                <w:webHidden/>
              </w:rPr>
              <w:fldChar w:fldCharType="separate"/>
            </w:r>
            <w:r>
              <w:rPr>
                <w:noProof/>
                <w:webHidden/>
              </w:rPr>
              <w:t>1</w:t>
            </w:r>
            <w:r>
              <w:rPr>
                <w:noProof/>
                <w:webHidden/>
              </w:rPr>
              <w:fldChar w:fldCharType="end"/>
            </w:r>
          </w:hyperlink>
        </w:p>
        <w:p w14:paraId="356F7AE0" w14:textId="4CDB2117" w:rsidR="00015C78" w:rsidRDefault="00015C78">
          <w:pPr>
            <w:pStyle w:val="TOC1"/>
            <w:tabs>
              <w:tab w:val="right" w:leader="dot" w:pos="9350"/>
            </w:tabs>
            <w:rPr>
              <w:rFonts w:eastAsiaTheme="minorEastAsia"/>
              <w:noProof/>
            </w:rPr>
          </w:pPr>
          <w:hyperlink w:anchor="_Toc209029403" w:history="1">
            <w:r w:rsidRPr="00272BA2">
              <w:rPr>
                <w:rStyle w:val="Hyperlink"/>
                <w:noProof/>
              </w:rPr>
              <w:t>References</w:t>
            </w:r>
            <w:r>
              <w:rPr>
                <w:noProof/>
                <w:webHidden/>
              </w:rPr>
              <w:tab/>
            </w:r>
            <w:r>
              <w:rPr>
                <w:noProof/>
                <w:webHidden/>
              </w:rPr>
              <w:fldChar w:fldCharType="begin"/>
            </w:r>
            <w:r>
              <w:rPr>
                <w:noProof/>
                <w:webHidden/>
              </w:rPr>
              <w:instrText xml:space="preserve"> PAGEREF _Toc209029403 \h </w:instrText>
            </w:r>
            <w:r>
              <w:rPr>
                <w:noProof/>
                <w:webHidden/>
              </w:rPr>
            </w:r>
            <w:r>
              <w:rPr>
                <w:noProof/>
                <w:webHidden/>
              </w:rPr>
              <w:fldChar w:fldCharType="separate"/>
            </w:r>
            <w:r>
              <w:rPr>
                <w:noProof/>
                <w:webHidden/>
              </w:rPr>
              <w:t>1</w:t>
            </w:r>
            <w:r>
              <w:rPr>
                <w:noProof/>
                <w:webHidden/>
              </w:rPr>
              <w:fldChar w:fldCharType="end"/>
            </w:r>
          </w:hyperlink>
        </w:p>
        <w:p w14:paraId="2748263A" w14:textId="10C9B832" w:rsidR="00F55D5D" w:rsidRDefault="00F55D5D">
          <w:r>
            <w:rPr>
              <w:b/>
              <w:bCs/>
              <w:noProof/>
            </w:rPr>
            <w:fldChar w:fldCharType="end"/>
          </w:r>
        </w:p>
      </w:sdtContent>
    </w:sdt>
    <w:p w14:paraId="43A83537" w14:textId="77777777" w:rsidR="00F55D5D" w:rsidRDefault="00F55D5D">
      <w:pPr>
        <w:rPr>
          <w:rFonts w:asciiTheme="majorHAnsi" w:eastAsiaTheme="majorEastAsia" w:hAnsiTheme="majorHAnsi" w:cstheme="majorBidi"/>
          <w:color w:val="0F4761" w:themeColor="accent1" w:themeShade="BF"/>
          <w:sz w:val="40"/>
          <w:szCs w:val="40"/>
        </w:rPr>
      </w:pPr>
      <w:r>
        <w:br w:type="page"/>
      </w:r>
    </w:p>
    <w:p w14:paraId="74479303" w14:textId="0D02E8C3" w:rsidR="00C4055D" w:rsidRPr="00C4055D" w:rsidRDefault="00C4055D" w:rsidP="00A8723E">
      <w:pPr>
        <w:pStyle w:val="Heading1"/>
      </w:pPr>
      <w:bookmarkStart w:id="0" w:name="_Toc209029394"/>
      <w:r w:rsidRPr="00C4055D">
        <w:lastRenderedPageBreak/>
        <w:t>Question Presented</w:t>
      </w:r>
      <w:bookmarkEnd w:id="0"/>
    </w:p>
    <w:p w14:paraId="78DFD066" w14:textId="77777777" w:rsidR="00C4055D" w:rsidRPr="00C4055D" w:rsidRDefault="00C4055D" w:rsidP="00C4055D">
      <w:r w:rsidRPr="00C4055D">
        <w:t>Is the non-compete clause signed by Jane Doe—prohibiting her from working for any competitor within Honolulu County for two years—enforceable under Hawai</w:t>
      </w:r>
      <w:r w:rsidRPr="00C4055D">
        <w:rPr>
          <w:rFonts w:ascii="Arial" w:hAnsi="Arial" w:cs="Arial"/>
        </w:rPr>
        <w:t>ʻ</w:t>
      </w:r>
      <w:r w:rsidRPr="00C4055D">
        <w:t>i law?</w:t>
      </w:r>
    </w:p>
    <w:p w14:paraId="3D4AD210" w14:textId="77777777" w:rsidR="00C4055D" w:rsidRPr="00C4055D" w:rsidRDefault="00C4055D" w:rsidP="00A8723E">
      <w:pPr>
        <w:pStyle w:val="Heading1"/>
      </w:pPr>
      <w:bookmarkStart w:id="1" w:name="_Toc209029395"/>
      <w:r w:rsidRPr="00C4055D">
        <w:t>Brief Answer</w:t>
      </w:r>
      <w:bookmarkEnd w:id="1"/>
    </w:p>
    <w:p w14:paraId="7A699723" w14:textId="7D6720C0" w:rsidR="00C4055D" w:rsidRPr="00C4055D" w:rsidRDefault="00C4055D" w:rsidP="00C4055D">
      <w:r w:rsidRPr="00C4055D">
        <w:rPr>
          <w:b/>
          <w:bCs/>
        </w:rPr>
        <w:t>Partially, but not as written.</w:t>
      </w:r>
      <w:r w:rsidRPr="00C4055D">
        <w:t xml:space="preserve"> Under Hawai</w:t>
      </w:r>
      <w:r w:rsidRPr="00C4055D">
        <w:rPr>
          <w:rFonts w:ascii="Arial" w:hAnsi="Arial" w:cs="Arial"/>
        </w:rPr>
        <w:t>ʻ</w:t>
      </w:r>
      <w:r w:rsidRPr="00C4055D">
        <w:t xml:space="preserve">i law, employee non-competes are enforceable only if they protect a </w:t>
      </w:r>
      <w:r w:rsidRPr="00C4055D">
        <w:rPr>
          <w:b/>
          <w:bCs/>
        </w:rPr>
        <w:t>legitimate business interest</w:t>
      </w:r>
      <w:r w:rsidRPr="00C4055D">
        <w:t xml:space="preserve"> and are </w:t>
      </w:r>
      <w:r w:rsidRPr="00C4055D">
        <w:rPr>
          <w:b/>
          <w:bCs/>
        </w:rPr>
        <w:t>reasonable</w:t>
      </w:r>
      <w:r w:rsidRPr="00C4055D">
        <w:t xml:space="preserve"> in duration, geography, and scope; Hawai</w:t>
      </w:r>
      <w:r w:rsidRPr="00C4055D">
        <w:rPr>
          <w:rFonts w:ascii="Arial" w:hAnsi="Arial" w:cs="Arial"/>
        </w:rPr>
        <w:t>ʻ</w:t>
      </w:r>
      <w:r w:rsidRPr="00C4055D">
        <w:t xml:space="preserve">i courts also consider </w:t>
      </w:r>
      <w:r w:rsidRPr="00C4055D">
        <w:rPr>
          <w:b/>
          <w:bCs/>
        </w:rPr>
        <w:t>undue hardship</w:t>
      </w:r>
      <w:r w:rsidRPr="00C4055D">
        <w:t xml:space="preserve"> on the employee and </w:t>
      </w:r>
      <w:r w:rsidRPr="00C4055D">
        <w:rPr>
          <w:b/>
          <w:bCs/>
        </w:rPr>
        <w:t>injury to the public</w:t>
      </w:r>
      <w:r w:rsidRPr="00C4055D">
        <w:t xml:space="preserve">. A </w:t>
      </w:r>
      <w:r w:rsidRPr="00C4055D">
        <w:rPr>
          <w:b/>
          <w:bCs/>
        </w:rPr>
        <w:t>two-year</w:t>
      </w:r>
      <w:r w:rsidRPr="00C4055D">
        <w:t xml:space="preserve"> duration and </w:t>
      </w:r>
      <w:r w:rsidRPr="00C4055D">
        <w:rPr>
          <w:b/>
          <w:bCs/>
        </w:rPr>
        <w:t>Honolulu County</w:t>
      </w:r>
      <w:r w:rsidRPr="00C4055D">
        <w:t>-only geography generally fall within accepted bounds. However, a blanket ban on working for “</w:t>
      </w:r>
      <w:r w:rsidRPr="00C4055D">
        <w:rPr>
          <w:b/>
          <w:bCs/>
        </w:rPr>
        <w:t>any competitor</w:t>
      </w:r>
      <w:r w:rsidRPr="00C4055D">
        <w:t xml:space="preserve">” is likely overbroad. The clause would likely be </w:t>
      </w:r>
      <w:r w:rsidRPr="00C4055D">
        <w:rPr>
          <w:b/>
          <w:bCs/>
        </w:rPr>
        <w:t>narrowed or partially enforced</w:t>
      </w:r>
      <w:r w:rsidRPr="00C4055D">
        <w:t xml:space="preserve"> to protect XYZ’s confidential information and customer goodwill without unduly restricting Doe’s</w:t>
      </w:r>
      <w:r w:rsidR="008767A9">
        <w:t xml:space="preserve"> </w:t>
      </w:r>
      <w:r w:rsidRPr="00C4055D">
        <w:t xml:space="preserve">ability to work. </w:t>
      </w:r>
    </w:p>
    <w:p w14:paraId="61E46EB5" w14:textId="78606FFD" w:rsidR="008767A9" w:rsidRDefault="008767A9" w:rsidP="00A8723E">
      <w:pPr>
        <w:pStyle w:val="Heading1"/>
      </w:pPr>
      <w:bookmarkStart w:id="2" w:name="_Toc209029396"/>
      <w:r>
        <w:rPr>
          <w:noProof/>
        </w:rPr>
        <w:drawing>
          <wp:anchor distT="0" distB="0" distL="114300" distR="114300" simplePos="0" relativeHeight="251663360" behindDoc="0" locked="0" layoutInCell="1" allowOverlap="1" wp14:anchorId="17B3D7E9" wp14:editId="164B48EB">
            <wp:simplePos x="0" y="0"/>
            <wp:positionH relativeFrom="margin">
              <wp:align>left</wp:align>
            </wp:positionH>
            <wp:positionV relativeFrom="margin">
              <wp:posOffset>3355340</wp:posOffset>
            </wp:positionV>
            <wp:extent cx="3124200" cy="2082800"/>
            <wp:effectExtent l="0" t="0" r="0" b="0"/>
            <wp:wrapSquare wrapText="bothSides"/>
            <wp:docPr id="1021547181" name="Picture 4" descr="Gavel resting on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547181" name="Picture 1021547181" descr="Gavel resting on block"/>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24200" cy="2082800"/>
                    </a:xfrm>
                    <a:prstGeom prst="rect">
                      <a:avLst/>
                    </a:prstGeom>
                  </pic:spPr>
                </pic:pic>
              </a:graphicData>
            </a:graphic>
          </wp:anchor>
        </w:drawing>
      </w:r>
      <w:bookmarkEnd w:id="2"/>
    </w:p>
    <w:p w14:paraId="7B324BC2" w14:textId="77777777" w:rsidR="008767A9" w:rsidRDefault="008767A9" w:rsidP="00A8723E">
      <w:pPr>
        <w:pStyle w:val="Heading1"/>
      </w:pPr>
    </w:p>
    <w:p w14:paraId="0847F9ED" w14:textId="77777777" w:rsidR="008767A9" w:rsidRDefault="008767A9" w:rsidP="00A8723E">
      <w:pPr>
        <w:pStyle w:val="Heading1"/>
      </w:pPr>
    </w:p>
    <w:p w14:paraId="0D9B7B6A" w14:textId="77777777" w:rsidR="008767A9" w:rsidRDefault="008767A9" w:rsidP="00A8723E">
      <w:pPr>
        <w:pStyle w:val="Heading1"/>
      </w:pPr>
    </w:p>
    <w:p w14:paraId="3FD80610" w14:textId="4C4BA8E7" w:rsidR="00C4055D" w:rsidRPr="00C4055D" w:rsidRDefault="00C4055D" w:rsidP="00A8723E">
      <w:pPr>
        <w:pStyle w:val="Heading1"/>
      </w:pPr>
      <w:bookmarkStart w:id="3" w:name="_Toc209029397"/>
      <w:r w:rsidRPr="00C4055D">
        <w:t>Statement of Facts</w:t>
      </w:r>
      <w:bookmarkEnd w:id="3"/>
    </w:p>
    <w:p w14:paraId="2BEEBE9E" w14:textId="5B090027" w:rsidR="00F128F9" w:rsidRDefault="00C4055D" w:rsidP="00C4055D">
      <w:r w:rsidRPr="00C4055D">
        <w:t xml:space="preserve">XYZ Corporation (“XYZ”) hired Jane Doe in 2020 as a </w:t>
      </w:r>
      <w:r w:rsidRPr="00C4055D">
        <w:rPr>
          <w:b/>
          <w:bCs/>
        </w:rPr>
        <w:t>marketing manager</w:t>
      </w:r>
      <w:r w:rsidRPr="00C4055D">
        <w:t xml:space="preserve"> in Honolulu. On hire, Doe signed an employment agreement containing a </w:t>
      </w:r>
      <w:r w:rsidRPr="00C4055D">
        <w:rPr>
          <w:b/>
          <w:bCs/>
        </w:rPr>
        <w:t>non-compete clause</w:t>
      </w:r>
      <w:r w:rsidRPr="00C4055D">
        <w:t xml:space="preserve"> that prohibits her, for </w:t>
      </w:r>
      <w:r w:rsidRPr="00C4055D">
        <w:rPr>
          <w:b/>
          <w:bCs/>
        </w:rPr>
        <w:t>two years</w:t>
      </w:r>
      <w:r w:rsidRPr="00C4055D">
        <w:t xml:space="preserve"> after separation, from “working for </w:t>
      </w:r>
      <w:r w:rsidRPr="00C4055D">
        <w:rPr>
          <w:b/>
          <w:bCs/>
        </w:rPr>
        <w:t>any competitor</w:t>
      </w:r>
      <w:r w:rsidRPr="00C4055D">
        <w:t xml:space="preserve"> within </w:t>
      </w:r>
      <w:r w:rsidRPr="00C4055D">
        <w:rPr>
          <w:b/>
          <w:bCs/>
        </w:rPr>
        <w:t>Honolulu County</w:t>
      </w:r>
      <w:r w:rsidRPr="00C4055D">
        <w:t xml:space="preserve"> in any capacity.” In June 2024, Doe resigned and joined </w:t>
      </w:r>
      <w:r w:rsidRPr="00C4055D">
        <w:rPr>
          <w:b/>
          <w:bCs/>
        </w:rPr>
        <w:t>ABC Consulting</w:t>
      </w:r>
      <w:r w:rsidRPr="00C4055D">
        <w:t>, which competes with XYZ in regional marketing services. XYZ filed suit in Hawai</w:t>
      </w:r>
      <w:r w:rsidRPr="00C4055D">
        <w:rPr>
          <w:rFonts w:ascii="Arial" w:hAnsi="Arial" w:cs="Arial"/>
        </w:rPr>
        <w:t>ʻ</w:t>
      </w:r>
      <w:r w:rsidRPr="00C4055D">
        <w:t>i circuit court to enforce the non-compete and obtain injunctive relief barring Doe from continued employment with ABC.</w:t>
      </w:r>
    </w:p>
    <w:p w14:paraId="067157F6" w14:textId="38A7D4D1" w:rsidR="00F128F9" w:rsidRDefault="00F128F9" w:rsidP="00C4055D">
      <w:r>
        <w:rPr>
          <w:noProof/>
        </w:rPr>
        <w:lastRenderedPageBreak/>
        <mc:AlternateContent>
          <mc:Choice Requires="wps">
            <w:drawing>
              <wp:anchor distT="91440" distB="91440" distL="114300" distR="114300" simplePos="0" relativeHeight="251662336" behindDoc="0" locked="0" layoutInCell="1" allowOverlap="1" wp14:anchorId="199C322A" wp14:editId="761C3DFA">
                <wp:simplePos x="0" y="0"/>
                <wp:positionH relativeFrom="margin">
                  <wp:align>left</wp:align>
                </wp:positionH>
                <wp:positionV relativeFrom="paragraph">
                  <wp:posOffset>0</wp:posOffset>
                </wp:positionV>
                <wp:extent cx="347472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7EA5C5F2" w14:textId="5A4798A3" w:rsidR="00F128F9" w:rsidRDefault="00F128F9">
                            <w:pPr>
                              <w:pBdr>
                                <w:top w:val="single" w:sz="24" w:space="8" w:color="156082" w:themeColor="accent1"/>
                                <w:bottom w:val="single" w:sz="24" w:space="8" w:color="156082" w:themeColor="accent1"/>
                              </w:pBdr>
                              <w:spacing w:after="0"/>
                              <w:rPr>
                                <w:i/>
                                <w:iCs/>
                                <w:color w:val="156082" w:themeColor="accent1"/>
                              </w:rPr>
                            </w:pPr>
                            <w:r w:rsidRPr="00F128F9">
                              <w:rPr>
                                <w:i/>
                                <w:iCs/>
                                <w:color w:val="156082" w:themeColor="accent1"/>
                              </w:rPr>
                              <w:t>The relevant portion of Doe’s employment contract is reproduced below (Figure 1).</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199C322A" id="Text Box 2" o:spid="_x0000_s1028" type="#_x0000_t202" style="position:absolute;margin-left:0;margin-top:0;width:273.6pt;height:110.55pt;z-index:251662336;visibility:visible;mso-wrap-style:square;mso-width-percent:585;mso-height-percent:200;mso-wrap-distance-left:9pt;mso-wrap-distance-top:7.2pt;mso-wrap-distance-right:9pt;mso-wrap-distance-bottom:7.2pt;mso-position-horizontal:left;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" filled="f" stroked="f">
                <v:textbox style="mso-fit-shape-to-text:t">
                  <w:txbxContent>
                    <w:p w14:paraId="7EA5C5F2" w14:textId="5A4798A3" w:rsidR="00F128F9" w:rsidRDefault="00F128F9">
                      <w:pPr>
                        <w:pBdr>
                          <w:top w:val="single" w:sz="24" w:space="8" w:color="156082" w:themeColor="accent1"/>
                          <w:bottom w:val="single" w:sz="24" w:space="8" w:color="156082" w:themeColor="accent1"/>
                        </w:pBdr>
                        <w:spacing w:after="0"/>
                        <w:rPr>
                          <w:i/>
                          <w:iCs/>
                          <w:color w:val="156082" w:themeColor="accent1"/>
                        </w:rPr>
                      </w:pPr>
                      <w:r w:rsidRPr="00F128F9">
                        <w:rPr>
                          <w:i/>
                          <w:iCs/>
                          <w:color w:val="156082" w:themeColor="accent1"/>
                        </w:rPr>
                        <w:t>The relevant portion of Doe’s employment contract is reproduced below (Figure 1).</w:t>
                      </w:r>
                    </w:p>
                  </w:txbxContent>
                </v:textbox>
                <w10:wrap type="topAndBottom" anchorx="margin"/>
              </v:shape>
            </w:pict>
          </mc:Fallback>
        </mc:AlternateContent>
      </w:r>
    </w:p>
    <w:p w14:paraId="7DA2D8CD" w14:textId="7C3C3F25" w:rsidR="00F128F9" w:rsidRDefault="00F128F9" w:rsidP="00C4055D">
      <w:r>
        <w:rPr>
          <w:noProof/>
        </w:rPr>
        <w:drawing>
          <wp:inline distT="0" distB="0" distL="0" distR="0" wp14:anchorId="2E4F6BA6" wp14:editId="45AA6E55">
            <wp:extent cx="3326444" cy="4267200"/>
            <wp:effectExtent l="0" t="0" r="7620" b="0"/>
            <wp:docPr id="339948861" name="Picture 3" descr="A non-compete agreement form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48861" name="Picture 3" descr="A non-compete agreement form with blue text&#10;&#10;AI-generated content may be incorrect."/>
                    <pic:cNvPicPr/>
                  </pic:nvPicPr>
                  <pic:blipFill rotWithShape="1">
                    <a:blip r:embed="rId10">
                      <a:extLst>
                        <a:ext uri="{28A0092B-C50C-407E-A947-70E740481C1C}">
                          <a14:useLocalDpi xmlns:a14="http://schemas.microsoft.com/office/drawing/2010/main" val="0"/>
                        </a:ext>
                      </a:extLst>
                    </a:blip>
                    <a:srcRect l="1509" t="1591" r="926" b="1636"/>
                    <a:stretch>
                      <a:fillRect/>
                    </a:stretch>
                  </pic:blipFill>
                  <pic:spPr bwMode="auto">
                    <a:xfrm>
                      <a:off x="0" y="0"/>
                      <a:ext cx="3340213" cy="4284863"/>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1870"/>
        <w:gridCol w:w="1870"/>
        <w:gridCol w:w="1870"/>
        <w:gridCol w:w="1870"/>
        <w:gridCol w:w="1870"/>
      </w:tblGrid>
      <w:tr w:rsidR="000D19A6" w14:paraId="078395D2" w14:textId="77777777" w:rsidTr="000D19A6">
        <w:tc>
          <w:tcPr>
            <w:tcW w:w="1870" w:type="dxa"/>
          </w:tcPr>
          <w:p w14:paraId="60F3ED9F" w14:textId="3B30CB6E" w:rsidR="000D19A6" w:rsidRPr="00D04B79" w:rsidRDefault="000D19A6" w:rsidP="00C4055D">
            <w:pPr>
              <w:rPr>
                <w:b/>
                <w:bCs/>
              </w:rPr>
            </w:pPr>
            <w:r w:rsidRPr="00D04B79">
              <w:rPr>
                <w:b/>
                <w:bCs/>
              </w:rPr>
              <w:t>Party</w:t>
            </w:r>
          </w:p>
        </w:tc>
        <w:tc>
          <w:tcPr>
            <w:tcW w:w="1870" w:type="dxa"/>
          </w:tcPr>
          <w:p w14:paraId="08EFCC99" w14:textId="6FF208EF" w:rsidR="000D19A6" w:rsidRPr="00D04B79" w:rsidRDefault="000D19A6" w:rsidP="00C4055D">
            <w:pPr>
              <w:rPr>
                <w:b/>
                <w:bCs/>
              </w:rPr>
            </w:pPr>
            <w:r w:rsidRPr="00D04B79">
              <w:rPr>
                <w:b/>
                <w:bCs/>
              </w:rPr>
              <w:t>Business</w:t>
            </w:r>
          </w:p>
        </w:tc>
        <w:tc>
          <w:tcPr>
            <w:tcW w:w="1870" w:type="dxa"/>
          </w:tcPr>
          <w:p w14:paraId="7288C945" w14:textId="13BFA560" w:rsidR="000D19A6" w:rsidRPr="00D04B79" w:rsidRDefault="000D19A6" w:rsidP="00C4055D">
            <w:pPr>
              <w:rPr>
                <w:b/>
                <w:bCs/>
              </w:rPr>
            </w:pPr>
            <w:r w:rsidRPr="00D04B79">
              <w:rPr>
                <w:b/>
                <w:bCs/>
              </w:rPr>
              <w:t>Role</w:t>
            </w:r>
          </w:p>
        </w:tc>
        <w:tc>
          <w:tcPr>
            <w:tcW w:w="1870" w:type="dxa"/>
          </w:tcPr>
          <w:p w14:paraId="049E450B" w14:textId="2D2F86FD" w:rsidR="000D19A6" w:rsidRPr="00D04B79" w:rsidRDefault="000D19A6" w:rsidP="00C4055D">
            <w:pPr>
              <w:rPr>
                <w:b/>
                <w:bCs/>
              </w:rPr>
            </w:pPr>
            <w:r w:rsidRPr="00D04B79">
              <w:rPr>
                <w:b/>
                <w:bCs/>
              </w:rPr>
              <w:t>Access to Confidential Information</w:t>
            </w:r>
          </w:p>
        </w:tc>
        <w:tc>
          <w:tcPr>
            <w:tcW w:w="1870" w:type="dxa"/>
          </w:tcPr>
          <w:p w14:paraId="46CB7CE7" w14:textId="772D1DC5" w:rsidR="000D19A6" w:rsidRPr="00D04B79" w:rsidRDefault="000D19A6" w:rsidP="00C4055D">
            <w:pPr>
              <w:rPr>
                <w:b/>
                <w:bCs/>
              </w:rPr>
            </w:pPr>
            <w:r w:rsidRPr="00D04B79">
              <w:rPr>
                <w:b/>
                <w:bCs/>
              </w:rPr>
              <w:t>Post-Employment Role</w:t>
            </w:r>
          </w:p>
        </w:tc>
      </w:tr>
      <w:tr w:rsidR="000D19A6" w14:paraId="2D0B6B7E" w14:textId="77777777" w:rsidTr="000D19A6">
        <w:tc>
          <w:tcPr>
            <w:tcW w:w="1870" w:type="dxa"/>
          </w:tcPr>
          <w:p w14:paraId="5E173BFB" w14:textId="23B4FB0C" w:rsidR="000D19A6" w:rsidRPr="00D04B79" w:rsidRDefault="000D19A6" w:rsidP="00C4055D">
            <w:pPr>
              <w:rPr>
                <w:b/>
                <w:bCs/>
              </w:rPr>
            </w:pPr>
            <w:r w:rsidRPr="00D04B79">
              <w:rPr>
                <w:b/>
                <w:bCs/>
              </w:rPr>
              <w:t>Plaintiff (XYZ Corporation)</w:t>
            </w:r>
          </w:p>
        </w:tc>
        <w:tc>
          <w:tcPr>
            <w:tcW w:w="1870" w:type="dxa"/>
          </w:tcPr>
          <w:p w14:paraId="3C64E9D8" w14:textId="7DCFF8AD" w:rsidR="000D19A6" w:rsidRDefault="000D19A6" w:rsidP="00C4055D">
            <w:r>
              <w:t>Honolulu-based marketing firm</w:t>
            </w:r>
          </w:p>
        </w:tc>
        <w:tc>
          <w:tcPr>
            <w:tcW w:w="1870" w:type="dxa"/>
          </w:tcPr>
          <w:p w14:paraId="066BDF42" w14:textId="0A310347" w:rsidR="000D19A6" w:rsidRDefault="000D19A6" w:rsidP="00C4055D">
            <w:r>
              <w:t>Employer</w:t>
            </w:r>
          </w:p>
        </w:tc>
        <w:tc>
          <w:tcPr>
            <w:tcW w:w="1870" w:type="dxa"/>
          </w:tcPr>
          <w:p w14:paraId="7360AE01" w14:textId="3D76F93D" w:rsidR="000D19A6" w:rsidRDefault="000D19A6" w:rsidP="00C4055D">
            <w:r w:rsidRPr="000D19A6">
              <w:t>Client lists, pricing models, campaign strategies</w:t>
            </w:r>
          </w:p>
        </w:tc>
        <w:tc>
          <w:tcPr>
            <w:tcW w:w="1870" w:type="dxa"/>
          </w:tcPr>
          <w:p w14:paraId="5F00640F" w14:textId="6CBF3B9F" w:rsidR="000D19A6" w:rsidRDefault="000D19A6" w:rsidP="00C4055D">
            <w:r w:rsidRPr="000D19A6">
              <w:t>Seeking to enforce non-compete agreement</w:t>
            </w:r>
          </w:p>
        </w:tc>
      </w:tr>
      <w:tr w:rsidR="000D19A6" w14:paraId="103CD0C5" w14:textId="77777777" w:rsidTr="000D19A6">
        <w:tc>
          <w:tcPr>
            <w:tcW w:w="1870" w:type="dxa"/>
          </w:tcPr>
          <w:p w14:paraId="2A2784A9" w14:textId="0C379DBE" w:rsidR="000D19A6" w:rsidRPr="00D04B79" w:rsidRDefault="000D19A6" w:rsidP="00C4055D">
            <w:pPr>
              <w:rPr>
                <w:b/>
                <w:bCs/>
              </w:rPr>
            </w:pPr>
            <w:r w:rsidRPr="00D04B79">
              <w:rPr>
                <w:b/>
                <w:bCs/>
              </w:rPr>
              <w:t>Defendant (Jane Doe)</w:t>
            </w:r>
          </w:p>
        </w:tc>
        <w:tc>
          <w:tcPr>
            <w:tcW w:w="1870" w:type="dxa"/>
          </w:tcPr>
          <w:p w14:paraId="49191099" w14:textId="25696BB2" w:rsidR="000D19A6" w:rsidRDefault="000D19A6" w:rsidP="00C4055D">
            <w:r w:rsidRPr="000D19A6">
              <w:t>Now employed at ABC Consulting, a competing marketing firm in Honolulu</w:t>
            </w:r>
          </w:p>
        </w:tc>
        <w:tc>
          <w:tcPr>
            <w:tcW w:w="1870" w:type="dxa"/>
          </w:tcPr>
          <w:p w14:paraId="619EA92D" w14:textId="410A2B11" w:rsidR="000D19A6" w:rsidRDefault="000D19A6" w:rsidP="00C4055D">
            <w:r>
              <w:t>Former marketing manager at XYZ Corporation (2020-2024)</w:t>
            </w:r>
          </w:p>
        </w:tc>
        <w:tc>
          <w:tcPr>
            <w:tcW w:w="1870" w:type="dxa"/>
          </w:tcPr>
          <w:p w14:paraId="1ECD1D42" w14:textId="10A9F336" w:rsidR="000D19A6" w:rsidRDefault="000D19A6" w:rsidP="00C4055D">
            <w:r w:rsidRPr="000D19A6">
              <w:t>Had access to confidential client data and strategies</w:t>
            </w:r>
          </w:p>
        </w:tc>
        <w:tc>
          <w:tcPr>
            <w:tcW w:w="1870" w:type="dxa"/>
          </w:tcPr>
          <w:p w14:paraId="3DE834C2" w14:textId="0C66AFEF" w:rsidR="000D19A6" w:rsidRDefault="000D19A6" w:rsidP="00C4055D">
            <w:r w:rsidRPr="000D19A6">
              <w:t>Marketing manager at ABC Consulting</w:t>
            </w:r>
          </w:p>
        </w:tc>
      </w:tr>
    </w:tbl>
    <w:p w14:paraId="77DC3124" w14:textId="11775751" w:rsidR="00F85AC0" w:rsidRPr="00C4055D" w:rsidRDefault="00063BAB" w:rsidP="00C4055D">
      <w:r>
        <w:rPr>
          <w:noProof/>
        </w:rPr>
        <w:lastRenderedPageBreak/>
        <w:drawing>
          <wp:inline distT="0" distB="0" distL="0" distR="0" wp14:anchorId="2A5D7041" wp14:editId="2BEEDD32">
            <wp:extent cx="4899660" cy="2598420"/>
            <wp:effectExtent l="38100" t="19050" r="15240" b="30480"/>
            <wp:docPr id="205008172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0F94F419" w14:textId="77777777" w:rsidR="00C4055D" w:rsidRPr="00C4055D" w:rsidRDefault="00C4055D" w:rsidP="00A8723E">
      <w:pPr>
        <w:pStyle w:val="Heading1"/>
      </w:pPr>
      <w:bookmarkStart w:id="4" w:name="_Toc209029398"/>
      <w:r w:rsidRPr="00C4055D">
        <w:t>Discussion and Analysis</w:t>
      </w:r>
      <w:bookmarkEnd w:id="4"/>
    </w:p>
    <w:p w14:paraId="60651D13" w14:textId="39A92736" w:rsidR="00C4055D" w:rsidRPr="00C4055D" w:rsidRDefault="00C4055D" w:rsidP="00F55D5D">
      <w:pPr>
        <w:pStyle w:val="Heading2"/>
      </w:pPr>
      <w:bookmarkStart w:id="5" w:name="_Toc209029399"/>
      <w:r w:rsidRPr="00C4055D">
        <w:t>Applicable Law (Hawai</w:t>
      </w:r>
      <w:r w:rsidRPr="00C4055D">
        <w:rPr>
          <w:rFonts w:ascii="Arial" w:hAnsi="Arial" w:cs="Arial"/>
        </w:rPr>
        <w:t>ʻ</w:t>
      </w:r>
      <w:r w:rsidRPr="00C4055D">
        <w:t>i)</w:t>
      </w:r>
      <w:bookmarkEnd w:id="5"/>
    </w:p>
    <w:p w14:paraId="2219525F" w14:textId="3D8DA861" w:rsidR="00C4055D" w:rsidRPr="00C4055D" w:rsidRDefault="00C4055D" w:rsidP="00C4055D">
      <w:pPr>
        <w:numPr>
          <w:ilvl w:val="0"/>
          <w:numId w:val="15"/>
        </w:numPr>
      </w:pPr>
      <w:r w:rsidRPr="00C4055D">
        <w:rPr>
          <w:b/>
          <w:bCs/>
        </w:rPr>
        <w:t>Reasonableness &amp; Legitimate Purpose.</w:t>
      </w:r>
      <w:r w:rsidRPr="00C4055D">
        <w:t xml:space="preserve"> Hawai</w:t>
      </w:r>
      <w:r w:rsidRPr="00C4055D">
        <w:rPr>
          <w:rFonts w:ascii="Arial" w:hAnsi="Arial" w:cs="Arial"/>
        </w:rPr>
        <w:t>ʻ</w:t>
      </w:r>
      <w:r w:rsidRPr="00C4055D">
        <w:t xml:space="preserve">i enforces post-employment restraints only if they are </w:t>
      </w:r>
      <w:r w:rsidRPr="00C4055D">
        <w:rPr>
          <w:b/>
          <w:bCs/>
        </w:rPr>
        <w:t>no greater than necessary</w:t>
      </w:r>
      <w:r w:rsidRPr="00C4055D">
        <w:t xml:space="preserve"> to protect the employer’s legitimate interests (trade secrets, confidential information, customer relationships); do not impose </w:t>
      </w:r>
      <w:r w:rsidRPr="00C4055D">
        <w:rPr>
          <w:b/>
          <w:bCs/>
        </w:rPr>
        <w:t>undue hardship</w:t>
      </w:r>
      <w:r w:rsidRPr="00C4055D">
        <w:t xml:space="preserve"> on the employee; and are not </w:t>
      </w:r>
      <w:r w:rsidRPr="00C4055D">
        <w:rPr>
          <w:b/>
          <w:bCs/>
        </w:rPr>
        <w:t>injurious to the public.</w:t>
      </w:r>
      <w:r w:rsidRPr="00C4055D">
        <w:t xml:space="preserve"> This three-part test traces to </w:t>
      </w:r>
      <w:r w:rsidRPr="00C4055D">
        <w:rPr>
          <w:b/>
          <w:bCs/>
        </w:rPr>
        <w:t>Technicolor, Inc. v. Traeger</w:t>
      </w:r>
      <w:r w:rsidRPr="00C4055D">
        <w:t>, where the Hawai</w:t>
      </w:r>
      <w:r w:rsidRPr="00C4055D">
        <w:rPr>
          <w:rFonts w:ascii="Arial" w:hAnsi="Arial" w:cs="Arial"/>
        </w:rPr>
        <w:t>ʻ</w:t>
      </w:r>
      <w:r w:rsidRPr="00C4055D">
        <w:t xml:space="preserve">i Supreme Court emphasized the balance between protection and restraint. </w:t>
      </w:r>
    </w:p>
    <w:p w14:paraId="4079D2A4" w14:textId="7E816B39" w:rsidR="00C4055D" w:rsidRPr="00C4055D" w:rsidRDefault="00C4055D" w:rsidP="00C4055D">
      <w:pPr>
        <w:numPr>
          <w:ilvl w:val="0"/>
          <w:numId w:val="15"/>
        </w:numPr>
      </w:pPr>
      <w:r w:rsidRPr="00C4055D">
        <w:rPr>
          <w:b/>
          <w:bCs/>
        </w:rPr>
        <w:t>Modern Guidance.</w:t>
      </w:r>
      <w:r w:rsidRPr="00C4055D">
        <w:t xml:space="preserve"> In </w:t>
      </w:r>
      <w:r w:rsidRPr="00C4055D">
        <w:rPr>
          <w:b/>
          <w:bCs/>
        </w:rPr>
        <w:t>Prudential Locations, LLC v. Gagnon</w:t>
      </w:r>
      <w:r w:rsidRPr="00C4055D">
        <w:t xml:space="preserve"> (2022), the Hawai</w:t>
      </w:r>
      <w:r w:rsidRPr="00C4055D">
        <w:rPr>
          <w:rFonts w:ascii="Arial" w:hAnsi="Arial" w:cs="Arial"/>
        </w:rPr>
        <w:t>ʻ</w:t>
      </w:r>
      <w:r w:rsidRPr="00C4055D">
        <w:t xml:space="preserve">i Supreme Court declined to enforce a </w:t>
      </w:r>
      <w:proofErr w:type="gramStart"/>
      <w:r w:rsidRPr="00C4055D">
        <w:t>real-estate</w:t>
      </w:r>
      <w:proofErr w:type="gramEnd"/>
      <w:r w:rsidRPr="00C4055D">
        <w:t xml:space="preserve"> non-compete/non-solicit because the employer failed to show a </w:t>
      </w:r>
      <w:r w:rsidRPr="00C4055D">
        <w:rPr>
          <w:b/>
          <w:bCs/>
        </w:rPr>
        <w:t>legitimate purpose</w:t>
      </w:r>
      <w:r w:rsidRPr="00C4055D">
        <w:t xml:space="preserve"> beyond stifling competition and because the restrictions were not sufficiently tied to protectable interests. The Court clarified that </w:t>
      </w:r>
      <w:r w:rsidRPr="00C4055D">
        <w:rPr>
          <w:b/>
          <w:bCs/>
        </w:rPr>
        <w:t>protecting against ordinary competition is not enough</w:t>
      </w:r>
      <w:r w:rsidRPr="00C4055D">
        <w:t xml:space="preserve">; employers must show the restraint targets confidential information or goodwill. </w:t>
      </w:r>
    </w:p>
    <w:p w14:paraId="1C92A609" w14:textId="5BC7B534" w:rsidR="00C4055D" w:rsidRPr="00C4055D" w:rsidRDefault="00C4055D" w:rsidP="00C4055D">
      <w:pPr>
        <w:numPr>
          <w:ilvl w:val="0"/>
          <w:numId w:val="15"/>
        </w:numPr>
      </w:pPr>
      <w:r w:rsidRPr="00C4055D">
        <w:rPr>
          <w:b/>
          <w:bCs/>
        </w:rPr>
        <w:t>Statutory Overlay — HRS § 480-4.</w:t>
      </w:r>
      <w:r w:rsidRPr="00C4055D">
        <w:t xml:space="preserve"> Hawai</w:t>
      </w:r>
      <w:r w:rsidRPr="00C4055D">
        <w:rPr>
          <w:rFonts w:ascii="Arial" w:hAnsi="Arial" w:cs="Arial"/>
        </w:rPr>
        <w:t>ʻ</w:t>
      </w:r>
      <w:r w:rsidRPr="00C4055D">
        <w:t>i</w:t>
      </w:r>
      <w:r w:rsidRPr="00C4055D">
        <w:rPr>
          <w:rFonts w:ascii="Aptos" w:hAnsi="Aptos" w:cs="Aptos"/>
        </w:rPr>
        <w:t>’</w:t>
      </w:r>
      <w:r w:rsidRPr="00C4055D">
        <w:t xml:space="preserve">s antitrust statute prohibits contracts in </w:t>
      </w:r>
      <w:r w:rsidRPr="00C4055D">
        <w:rPr>
          <w:b/>
          <w:bCs/>
        </w:rPr>
        <w:t>restraint of trade</w:t>
      </w:r>
      <w:r w:rsidRPr="00C4055D">
        <w:t xml:space="preserve"> and, since </w:t>
      </w:r>
      <w:r w:rsidRPr="00C4055D">
        <w:rPr>
          <w:b/>
          <w:bCs/>
        </w:rPr>
        <w:t>Act 158 (2015)</w:t>
      </w:r>
      <w:r w:rsidRPr="00C4055D">
        <w:t xml:space="preserve">, makes </w:t>
      </w:r>
      <w:r w:rsidRPr="00C4055D">
        <w:rPr>
          <w:b/>
          <w:bCs/>
        </w:rPr>
        <w:t>employee</w:t>
      </w:r>
      <w:r w:rsidRPr="00C4055D">
        <w:t xml:space="preserve"> non-compete and non-solicit clauses </w:t>
      </w:r>
      <w:r w:rsidRPr="00C4055D">
        <w:rPr>
          <w:b/>
          <w:bCs/>
        </w:rPr>
        <w:t>void</w:t>
      </w:r>
      <w:r w:rsidRPr="00C4055D">
        <w:t xml:space="preserve"> in the </w:t>
      </w:r>
      <w:r w:rsidRPr="00C4055D">
        <w:rPr>
          <w:b/>
          <w:bCs/>
        </w:rPr>
        <w:t>“technology business sector.”</w:t>
      </w:r>
      <w:r w:rsidRPr="00C4055D">
        <w:t xml:space="preserve"> Outside the tech carve-out, non-competes remain subject to the reasonableness test above.</w:t>
      </w:r>
      <w:r w:rsidR="00003C0B">
        <w:rPr>
          <w:rStyle w:val="FootnoteReference"/>
        </w:rPr>
        <w:footnoteReference w:id="1"/>
      </w:r>
    </w:p>
    <w:p w14:paraId="2504EC73" w14:textId="191394C6" w:rsidR="00C4055D" w:rsidRPr="00C4055D" w:rsidRDefault="00C4055D" w:rsidP="00F55D5D">
      <w:pPr>
        <w:pStyle w:val="Heading2"/>
      </w:pPr>
      <w:bookmarkStart w:id="6" w:name="_Toc209029400"/>
      <w:r w:rsidRPr="00C4055D">
        <w:lastRenderedPageBreak/>
        <w:t>Application to the Doe Agreement</w:t>
      </w:r>
      <w:bookmarkEnd w:id="6"/>
    </w:p>
    <w:p w14:paraId="48EFB4C5" w14:textId="77777777" w:rsidR="00C4055D" w:rsidRPr="00C4055D" w:rsidRDefault="00C4055D" w:rsidP="00C4055D">
      <w:pPr>
        <w:rPr>
          <w:b/>
          <w:bCs/>
        </w:rPr>
      </w:pPr>
      <w:r w:rsidRPr="00C4055D">
        <w:rPr>
          <w:b/>
          <w:bCs/>
        </w:rPr>
        <w:t>A. Duration (Two Years)</w:t>
      </w:r>
    </w:p>
    <w:p w14:paraId="2EF6BDDD" w14:textId="48C5B4EE" w:rsidR="00C4055D" w:rsidRPr="00C4055D" w:rsidRDefault="00C4055D" w:rsidP="00C4055D">
      <w:r w:rsidRPr="00C4055D">
        <w:t>Hawai</w:t>
      </w:r>
      <w:r w:rsidRPr="00C4055D">
        <w:rPr>
          <w:rFonts w:ascii="Arial" w:hAnsi="Arial" w:cs="Arial"/>
        </w:rPr>
        <w:t>ʻ</w:t>
      </w:r>
      <w:r w:rsidRPr="00C4055D">
        <w:t xml:space="preserve">i decisions and practice materials often view </w:t>
      </w:r>
      <w:r w:rsidRPr="00C4055D">
        <w:rPr>
          <w:b/>
          <w:bCs/>
        </w:rPr>
        <w:t>1–2 years</w:t>
      </w:r>
      <w:r w:rsidRPr="00C4055D">
        <w:t xml:space="preserve"> as within a reasonable range where the employer shows protectable interests. Here, </w:t>
      </w:r>
      <w:r w:rsidRPr="00C4055D">
        <w:rPr>
          <w:b/>
          <w:bCs/>
        </w:rPr>
        <w:t>two years</w:t>
      </w:r>
      <w:r w:rsidRPr="00C4055D">
        <w:t xml:space="preserve"> </w:t>
      </w:r>
      <w:proofErr w:type="gramStart"/>
      <w:r w:rsidRPr="00C4055D">
        <w:t>aligns</w:t>
      </w:r>
      <w:proofErr w:type="gramEnd"/>
      <w:r w:rsidRPr="00C4055D">
        <w:t xml:space="preserve"> with typical enforcement </w:t>
      </w:r>
      <w:proofErr w:type="gramStart"/>
      <w:r w:rsidRPr="00C4055D">
        <w:t>brackets—</w:t>
      </w:r>
      <w:proofErr w:type="gramEnd"/>
      <w:r w:rsidRPr="00C4055D">
        <w:t xml:space="preserve">particularly for employees with access to customer relationships and strategy. On balance, </w:t>
      </w:r>
      <w:r w:rsidRPr="00C4055D">
        <w:rPr>
          <w:b/>
          <w:bCs/>
        </w:rPr>
        <w:t>duration favors enforceability</w:t>
      </w:r>
      <w:r w:rsidR="008767A9">
        <w:t>.</w:t>
      </w:r>
      <w:r w:rsidR="008767A9" w:rsidRPr="00C4055D">
        <w:t xml:space="preserve"> </w:t>
      </w:r>
    </w:p>
    <w:p w14:paraId="4ADE8806" w14:textId="77777777" w:rsidR="00C4055D" w:rsidRPr="00C4055D" w:rsidRDefault="00C4055D" w:rsidP="00C4055D">
      <w:pPr>
        <w:rPr>
          <w:b/>
          <w:bCs/>
        </w:rPr>
      </w:pPr>
      <w:r w:rsidRPr="00C4055D">
        <w:rPr>
          <w:b/>
          <w:bCs/>
        </w:rPr>
        <w:t>B. Geographic Scope (Honolulu County)</w:t>
      </w:r>
    </w:p>
    <w:p w14:paraId="5615259F" w14:textId="63BAEC0B" w:rsidR="00C4055D" w:rsidRPr="00C4055D" w:rsidRDefault="00C4055D" w:rsidP="00C4055D">
      <w:r w:rsidRPr="00C4055D">
        <w:t xml:space="preserve">Tying the restraint to </w:t>
      </w:r>
      <w:r w:rsidRPr="00C4055D">
        <w:rPr>
          <w:b/>
          <w:bCs/>
        </w:rPr>
        <w:t>Honolulu County</w:t>
      </w:r>
      <w:r w:rsidRPr="00C4055D">
        <w:t xml:space="preserve"> matches the locus of XYZ’s operations and target market. Courts prefer geography drawn to </w:t>
      </w:r>
      <w:r w:rsidRPr="00C4055D">
        <w:rPr>
          <w:b/>
          <w:bCs/>
        </w:rPr>
        <w:t xml:space="preserve">where the employer </w:t>
      </w:r>
      <w:proofErr w:type="gramStart"/>
      <w:r w:rsidRPr="00C4055D">
        <w:rPr>
          <w:b/>
          <w:bCs/>
        </w:rPr>
        <w:t>actually competes</w:t>
      </w:r>
      <w:proofErr w:type="gramEnd"/>
      <w:r w:rsidRPr="00C4055D">
        <w:t xml:space="preserve">. A county-limited scope is thus </w:t>
      </w:r>
      <w:r w:rsidRPr="00C4055D">
        <w:rPr>
          <w:b/>
          <w:bCs/>
        </w:rPr>
        <w:t>narrowly tailored</w:t>
      </w:r>
      <w:r w:rsidRPr="00C4055D">
        <w:t xml:space="preserve"> and likely reasonable. </w:t>
      </w:r>
    </w:p>
    <w:p w14:paraId="04511DA1" w14:textId="77777777" w:rsidR="00C4055D" w:rsidRPr="00C4055D" w:rsidRDefault="00C4055D" w:rsidP="00C4055D">
      <w:pPr>
        <w:rPr>
          <w:b/>
          <w:bCs/>
        </w:rPr>
      </w:pPr>
      <w:r w:rsidRPr="00C4055D">
        <w:rPr>
          <w:b/>
          <w:bCs/>
        </w:rPr>
        <w:t>C. Scope of Activity (“Any Competitor” / “Any Capacity”)</w:t>
      </w:r>
    </w:p>
    <w:p w14:paraId="36EA6D4D" w14:textId="7D4978DC" w:rsidR="00C4055D" w:rsidRPr="00C4055D" w:rsidRDefault="00C4055D" w:rsidP="00C4055D">
      <w:r w:rsidRPr="00C4055D">
        <w:t xml:space="preserve">This is the </w:t>
      </w:r>
      <w:r w:rsidRPr="00C4055D">
        <w:rPr>
          <w:b/>
          <w:bCs/>
        </w:rPr>
        <w:t>weak point</w:t>
      </w:r>
      <w:r w:rsidRPr="00C4055D">
        <w:t xml:space="preserve">. A ban on working for </w:t>
      </w:r>
      <w:r w:rsidRPr="00C4055D">
        <w:rPr>
          <w:b/>
          <w:bCs/>
        </w:rPr>
        <w:t>“any competitor in any capacity”</w:t>
      </w:r>
      <w:r w:rsidRPr="00C4055D">
        <w:t xml:space="preserve"> can prevent Doe from taking </w:t>
      </w:r>
      <w:r w:rsidRPr="00C4055D">
        <w:rPr>
          <w:b/>
          <w:bCs/>
        </w:rPr>
        <w:t>non-overlapping roles</w:t>
      </w:r>
      <w:r w:rsidRPr="00C4055D">
        <w:t xml:space="preserve"> (e.g., back-office or unrelated functions), sweeping beyond what is </w:t>
      </w:r>
      <w:r w:rsidRPr="00C4055D">
        <w:rPr>
          <w:b/>
          <w:bCs/>
        </w:rPr>
        <w:t>necessary</w:t>
      </w:r>
      <w:r w:rsidRPr="00C4055D">
        <w:t xml:space="preserve"> to protect XYZ’s interests. Under </w:t>
      </w:r>
      <w:r w:rsidRPr="00C4055D">
        <w:rPr>
          <w:b/>
          <w:bCs/>
        </w:rPr>
        <w:t>Prudential</w:t>
      </w:r>
      <w:r w:rsidRPr="00C4055D">
        <w:t xml:space="preserve">, merely avoiding competition is </w:t>
      </w:r>
      <w:r w:rsidRPr="00C4055D">
        <w:rPr>
          <w:b/>
          <w:bCs/>
        </w:rPr>
        <w:t>not</w:t>
      </w:r>
      <w:r w:rsidRPr="00C4055D">
        <w:t xml:space="preserve"> a legitimate purpose; the restraint must target </w:t>
      </w:r>
      <w:r w:rsidRPr="00C4055D">
        <w:rPr>
          <w:b/>
          <w:bCs/>
        </w:rPr>
        <w:t>confidential information</w:t>
      </w:r>
      <w:r w:rsidRPr="00C4055D">
        <w:t xml:space="preserve"> or </w:t>
      </w:r>
      <w:r w:rsidRPr="00C4055D">
        <w:rPr>
          <w:b/>
          <w:bCs/>
        </w:rPr>
        <w:t>goodwill</w:t>
      </w:r>
      <w:r w:rsidRPr="00C4055D">
        <w:t xml:space="preserve"> at risk. The clause, as drafted, likely </w:t>
      </w:r>
      <w:r w:rsidRPr="00C4055D">
        <w:rPr>
          <w:b/>
          <w:bCs/>
        </w:rPr>
        <w:t>overreaches</w:t>
      </w:r>
      <w:r w:rsidRPr="00C4055D">
        <w:t xml:space="preserve"> and should be </w:t>
      </w:r>
      <w:r w:rsidRPr="00C4055D">
        <w:rPr>
          <w:b/>
          <w:bCs/>
        </w:rPr>
        <w:t>narrowed</w:t>
      </w:r>
      <w:r w:rsidRPr="00C4055D">
        <w:t xml:space="preserve"> to roles </w:t>
      </w:r>
      <w:r w:rsidRPr="00C4055D">
        <w:rPr>
          <w:b/>
          <w:bCs/>
        </w:rPr>
        <w:t xml:space="preserve">substantially </w:t>
      </w:r>
      <w:proofErr w:type="gramStart"/>
      <w:r w:rsidRPr="00C4055D">
        <w:rPr>
          <w:b/>
          <w:bCs/>
        </w:rPr>
        <w:t>similar</w:t>
      </w:r>
      <w:r w:rsidRPr="00C4055D">
        <w:t xml:space="preserve"> to</w:t>
      </w:r>
      <w:proofErr w:type="gramEnd"/>
      <w:r w:rsidRPr="00C4055D">
        <w:t xml:space="preserve"> Doe’s former duties or that risk use of specific confidential assets.</w:t>
      </w:r>
      <w:r w:rsidR="008767A9" w:rsidRPr="00C4055D">
        <w:t xml:space="preserve"> </w:t>
      </w:r>
    </w:p>
    <w:p w14:paraId="5A6FE535" w14:textId="77777777" w:rsidR="00C4055D" w:rsidRPr="00C4055D" w:rsidRDefault="00C4055D" w:rsidP="00C4055D">
      <w:pPr>
        <w:rPr>
          <w:b/>
          <w:bCs/>
        </w:rPr>
      </w:pPr>
      <w:r w:rsidRPr="00C4055D">
        <w:rPr>
          <w:b/>
          <w:bCs/>
        </w:rPr>
        <w:t>D. Undue Hardship / Public Interest</w:t>
      </w:r>
    </w:p>
    <w:p w14:paraId="11B911FA" w14:textId="06AE973F" w:rsidR="00C4055D" w:rsidRPr="00C4055D" w:rsidRDefault="00C4055D" w:rsidP="00C4055D">
      <w:r w:rsidRPr="00C4055D">
        <w:t xml:space="preserve">Preventing Doe from working </w:t>
      </w:r>
      <w:r w:rsidRPr="00C4055D">
        <w:rPr>
          <w:b/>
          <w:bCs/>
        </w:rPr>
        <w:t>anywhere</w:t>
      </w:r>
      <w:r w:rsidRPr="00C4055D">
        <w:t xml:space="preserve"> a competitor operates within the county for </w:t>
      </w:r>
      <w:r w:rsidRPr="00C4055D">
        <w:rPr>
          <w:b/>
          <w:bCs/>
        </w:rPr>
        <w:t>two years</w:t>
      </w:r>
      <w:r w:rsidRPr="00C4055D">
        <w:t xml:space="preserve"> may impose significant hardship in a </w:t>
      </w:r>
      <w:r w:rsidRPr="00C4055D">
        <w:rPr>
          <w:b/>
          <w:bCs/>
        </w:rPr>
        <w:t>small island labor market</w:t>
      </w:r>
      <w:r w:rsidRPr="00C4055D">
        <w:t>. Hawai</w:t>
      </w:r>
      <w:r w:rsidRPr="00C4055D">
        <w:rPr>
          <w:rFonts w:ascii="Arial" w:hAnsi="Arial" w:cs="Arial"/>
        </w:rPr>
        <w:t>ʻ</w:t>
      </w:r>
      <w:r w:rsidRPr="00C4055D">
        <w:t>i courts weigh hardship and public interest</w:t>
      </w:r>
      <w:r w:rsidRPr="00C4055D">
        <w:rPr>
          <w:rFonts w:ascii="Aptos" w:hAnsi="Aptos" w:cs="Aptos"/>
        </w:rPr>
        <w:t>—</w:t>
      </w:r>
      <w:r w:rsidRPr="00C4055D">
        <w:t xml:space="preserve">e.g., </w:t>
      </w:r>
      <w:r w:rsidRPr="00C4055D">
        <w:rPr>
          <w:b/>
          <w:bCs/>
        </w:rPr>
        <w:t>worker mobility</w:t>
      </w:r>
      <w:r w:rsidRPr="00C4055D">
        <w:t>—against employer benefit. Legislative findings supporting Act 158 recognized broader harms from over-restrictive covenants in Hawai</w:t>
      </w:r>
      <w:r w:rsidRPr="00C4055D">
        <w:rPr>
          <w:rFonts w:ascii="Arial" w:hAnsi="Arial" w:cs="Arial"/>
        </w:rPr>
        <w:t>ʻ</w:t>
      </w:r>
      <w:r w:rsidRPr="00C4055D">
        <w:t>i</w:t>
      </w:r>
      <w:r w:rsidRPr="00C4055D">
        <w:rPr>
          <w:rFonts w:ascii="Aptos" w:hAnsi="Aptos" w:cs="Aptos"/>
        </w:rPr>
        <w:t>’</w:t>
      </w:r>
      <w:r w:rsidRPr="00C4055D">
        <w:t xml:space="preserve">s economy, underscoring caution with expansive restraints. </w:t>
      </w:r>
    </w:p>
    <w:p w14:paraId="03F350A2" w14:textId="77777777" w:rsidR="00C4055D" w:rsidRPr="00C4055D" w:rsidRDefault="00C4055D" w:rsidP="00C4055D">
      <w:pPr>
        <w:rPr>
          <w:b/>
          <w:bCs/>
        </w:rPr>
      </w:pPr>
      <w:r w:rsidRPr="00C4055D">
        <w:rPr>
          <w:b/>
          <w:bCs/>
        </w:rPr>
        <w:t>E. Partial Enforcement (“Blue Pencil” / Modification)</w:t>
      </w:r>
    </w:p>
    <w:p w14:paraId="2868FBCB" w14:textId="72ED0128" w:rsidR="00C4055D" w:rsidRDefault="00C4055D" w:rsidP="00C4055D">
      <w:r w:rsidRPr="00C4055D">
        <w:t>Hawai</w:t>
      </w:r>
      <w:r w:rsidRPr="00C4055D">
        <w:rPr>
          <w:rFonts w:ascii="Arial" w:hAnsi="Arial" w:cs="Arial"/>
        </w:rPr>
        <w:t>ʻ</w:t>
      </w:r>
      <w:r w:rsidRPr="00C4055D">
        <w:t xml:space="preserve">i courts </w:t>
      </w:r>
      <w:r w:rsidRPr="00C4055D">
        <w:rPr>
          <w:b/>
          <w:bCs/>
        </w:rPr>
        <w:t>may</w:t>
      </w:r>
      <w:r w:rsidRPr="00C4055D">
        <w:t xml:space="preserve"> partially enforce or modify overbroad covenants to render them reasonable, depending on the language and severability. Practically, courts can </w:t>
      </w:r>
      <w:r w:rsidRPr="00C4055D">
        <w:rPr>
          <w:b/>
          <w:bCs/>
        </w:rPr>
        <w:t>strike</w:t>
      </w:r>
      <w:r w:rsidRPr="00C4055D">
        <w:t xml:space="preserve"> overbroad phrases (e.g., “in any capacity”) and enforce a </w:t>
      </w:r>
      <w:r w:rsidRPr="00C4055D">
        <w:rPr>
          <w:b/>
          <w:bCs/>
        </w:rPr>
        <w:t>narrower</w:t>
      </w:r>
      <w:r w:rsidRPr="00C4055D">
        <w:t xml:space="preserve"> restraint focused on </w:t>
      </w:r>
      <w:r w:rsidRPr="00C4055D">
        <w:rPr>
          <w:b/>
          <w:bCs/>
        </w:rPr>
        <w:t>roles</w:t>
      </w:r>
      <w:r w:rsidRPr="00C4055D">
        <w:t xml:space="preserve"> or </w:t>
      </w:r>
      <w:r w:rsidRPr="00C4055D">
        <w:rPr>
          <w:b/>
          <w:bCs/>
        </w:rPr>
        <w:t>client segments</w:t>
      </w:r>
      <w:r w:rsidRPr="00C4055D">
        <w:t xml:space="preserve"> tied to protectable interests. Expect the court to </w:t>
      </w:r>
      <w:r w:rsidRPr="00C4055D">
        <w:rPr>
          <w:b/>
          <w:bCs/>
        </w:rPr>
        <w:t>narrow</w:t>
      </w:r>
      <w:r w:rsidRPr="00C4055D">
        <w:t xml:space="preserve">, rather than void entirely, if the agreement shows a legitimate purpose and reasonable time/area. </w:t>
      </w:r>
    </w:p>
    <w:p w14:paraId="386DA36B" w14:textId="77777777" w:rsidR="008767A9" w:rsidRDefault="008767A9" w:rsidP="00C4055D"/>
    <w:p w14:paraId="3D982D39" w14:textId="64123C75" w:rsidR="008B05FF" w:rsidRDefault="008B05FF" w:rsidP="00C4055D">
      <w:pPr>
        <w:sectPr w:rsidR="008B05FF" w:rsidSect="00C4055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0"/>
          <w:cols w:space="720"/>
          <w:titlePg/>
          <w:docGrid w:linePitch="360"/>
        </w:sectPr>
      </w:pPr>
    </w:p>
    <w:p w14:paraId="6CB5E50A" w14:textId="77777777" w:rsidR="008B05FF" w:rsidRPr="008B05FF" w:rsidRDefault="008B05FF" w:rsidP="008B05FF">
      <w:r w:rsidRPr="00C73718">
        <w:rPr>
          <w:b/>
          <w:bCs/>
          <w:highlight w:val="cyan"/>
        </w:rPr>
        <w:lastRenderedPageBreak/>
        <w:t>Employer (XYZ’s Arguments):</w:t>
      </w:r>
      <w:r w:rsidRPr="008B05FF">
        <w:br/>
        <w:t>XYZ argues that Doe’s access to confidential client lists, pricing strategies, and campaign materials creates a substantial risk of unfair competition. Allowing her to move directly into a role with a competitor could enable the misuse of proprietary information, which courts recognize as a legitimate business interest worthy of protection.</w:t>
      </w:r>
    </w:p>
    <w:p w14:paraId="19209E7B" w14:textId="77777777" w:rsidR="008B05FF" w:rsidRPr="008B05FF" w:rsidRDefault="008B05FF" w:rsidP="008B05FF">
      <w:r w:rsidRPr="008B05FF">
        <w:t>XYZ also maintains that the restrictions in the agreement are reasonable in both duration and geography. Two years is a length that Hawai</w:t>
      </w:r>
      <w:r w:rsidRPr="008B05FF">
        <w:rPr>
          <w:rFonts w:ascii="Arial" w:hAnsi="Arial" w:cs="Arial"/>
        </w:rPr>
        <w:t>ʻ</w:t>
      </w:r>
      <w:r w:rsidRPr="008B05FF">
        <w:t>i courts often uphold, and limiting the covenant to Honolulu County ensures that the scope is tied to XYZ</w:t>
      </w:r>
      <w:r w:rsidRPr="008B05FF">
        <w:rPr>
          <w:rFonts w:ascii="Aptos" w:hAnsi="Aptos" w:cs="Aptos"/>
        </w:rPr>
        <w:t>’</w:t>
      </w:r>
      <w:r w:rsidRPr="008B05FF">
        <w:t>s actual market rather than being overbroad. Together, these points strengthen XYZ</w:t>
      </w:r>
      <w:r w:rsidRPr="008B05FF">
        <w:rPr>
          <w:rFonts w:ascii="Aptos" w:hAnsi="Aptos" w:cs="Aptos"/>
        </w:rPr>
        <w:t>’</w:t>
      </w:r>
      <w:r w:rsidRPr="008B05FF">
        <w:t>s claim that enforcement is justified.</w:t>
      </w:r>
    </w:p>
    <w:p w14:paraId="136C9340" w14:textId="77777777" w:rsidR="008B05FF" w:rsidRPr="008B05FF" w:rsidRDefault="008B05FF" w:rsidP="008B05FF">
      <w:r w:rsidRPr="00C73718">
        <w:rPr>
          <w:b/>
          <w:bCs/>
          <w:highlight w:val="magenta"/>
        </w:rPr>
        <w:t>Employee (Doe’s Arguments):</w:t>
      </w:r>
      <w:r w:rsidRPr="008B05FF">
        <w:br/>
        <w:t>Doe responds that the non-compete agreement is written far too broadly. By prohibiting her from working for “any competitor in any capacity,” the clause sweeps in jobs that pose no real threat to XYZ, such as administrative or back-office work. Hawai</w:t>
      </w:r>
      <w:r w:rsidRPr="008B05FF">
        <w:rPr>
          <w:rFonts w:ascii="Arial" w:hAnsi="Arial" w:cs="Arial"/>
        </w:rPr>
        <w:t>ʻ</w:t>
      </w:r>
      <w:r w:rsidRPr="008B05FF">
        <w:t>i courts are unlikely to enforce such vague and expansive terms because they extend beyond protecting legitimate interests.</w:t>
      </w:r>
    </w:p>
    <w:p w14:paraId="5E906346" w14:textId="0AD9CB5D" w:rsidR="00C4055D" w:rsidRPr="00C4055D" w:rsidRDefault="008B05FF" w:rsidP="00C4055D">
      <w:r w:rsidRPr="008B05FF">
        <w:t>She further argues that the agreement imposes undue hardship in Hawai</w:t>
      </w:r>
      <w:r w:rsidRPr="008B05FF">
        <w:rPr>
          <w:rFonts w:ascii="Arial" w:hAnsi="Arial" w:cs="Arial"/>
        </w:rPr>
        <w:t>ʻ</w:t>
      </w:r>
      <w:r w:rsidRPr="008B05FF">
        <w:t>i</w:t>
      </w:r>
      <w:r w:rsidRPr="008B05FF">
        <w:rPr>
          <w:rFonts w:ascii="Aptos" w:hAnsi="Aptos" w:cs="Aptos"/>
        </w:rPr>
        <w:t>’</w:t>
      </w:r>
      <w:r w:rsidRPr="008B05FF">
        <w:t>s limited labor market. Preventing her from working in nearly all marketing positions for two years restricts her livelihood and runs counter to public policy favoring employee mobility. Doe contends that these factors weigh strongly against enforcement.</w:t>
      </w:r>
    </w:p>
    <w:p w14:paraId="605B6A20" w14:textId="77777777" w:rsidR="008B05FF" w:rsidRDefault="008B05FF" w:rsidP="00C4055D">
      <w:pPr>
        <w:rPr>
          <w:b/>
          <w:bCs/>
        </w:rPr>
        <w:sectPr w:rsidR="008B05FF" w:rsidSect="008B05FF">
          <w:type w:val="continuous"/>
          <w:pgSz w:w="12240" w:h="15840"/>
          <w:pgMar w:top="1440" w:right="1440" w:bottom="1440" w:left="1440" w:header="720" w:footer="720" w:gutter="0"/>
          <w:pgNumType w:start="0"/>
          <w:cols w:num="2" w:space="720"/>
          <w:titlePg/>
          <w:docGrid w:linePitch="360"/>
        </w:sectPr>
      </w:pPr>
    </w:p>
    <w:p w14:paraId="643D6E09" w14:textId="5D428604" w:rsidR="00C4055D" w:rsidRDefault="008B05FF" w:rsidP="00C4055D">
      <w:pPr>
        <w:rPr>
          <w:b/>
          <w:bCs/>
        </w:rPr>
      </w:pPr>
      <w:r w:rsidRPr="001443E4">
        <w:rPr>
          <w:b/>
          <w:bCs/>
          <w:highlight w:val="cyan"/>
        </w:rPr>
        <w:t xml:space="preserve">Recap of </w:t>
      </w:r>
      <w:r w:rsidR="00C4055D" w:rsidRPr="001443E4">
        <w:rPr>
          <w:b/>
          <w:bCs/>
          <w:highlight w:val="cyan"/>
        </w:rPr>
        <w:t>Employer’s Position (XYZ)</w:t>
      </w:r>
    </w:p>
    <w:p w14:paraId="5648603A" w14:textId="558BD616" w:rsidR="00150B00" w:rsidRPr="008F3EC4" w:rsidRDefault="00FD70BF" w:rsidP="00C4055D">
      <w:r w:rsidRPr="008F3EC4">
        <w:fldChar w:fldCharType="begin">
          <w:ffData>
            <w:name w:val="Dropdown1"/>
            <w:enabled/>
            <w:calcOnExit w:val="0"/>
            <w:ddList>
              <w:listEntry w:val="View here"/>
              <w:listEntry w:val="Doe had access to client lists, pricing, campaigns"/>
              <w:listEntry w:val="Risk of harm (loss of goodwill; unfair head-start)"/>
              <w:listEntry w:val="2 years/Honolulu County are narrow and standard"/>
            </w:ddList>
          </w:ffData>
        </w:fldChar>
      </w:r>
      <w:bookmarkStart w:id="7" w:name="Dropdown1"/>
      <w:r w:rsidRPr="008F3EC4">
        <w:instrText xml:space="preserve"> FORMDROPDOWN </w:instrText>
      </w:r>
      <w:r w:rsidRPr="008F3EC4">
        <w:fldChar w:fldCharType="separate"/>
      </w:r>
      <w:r w:rsidRPr="008F3EC4">
        <w:fldChar w:fldCharType="end"/>
      </w:r>
      <w:bookmarkEnd w:id="7"/>
    </w:p>
    <w:p w14:paraId="7E63AC7B" w14:textId="4963FD63" w:rsidR="00C4055D" w:rsidRPr="00C4055D" w:rsidRDefault="008B05FF" w:rsidP="00C4055D">
      <w:r w:rsidRPr="001443E4">
        <w:rPr>
          <w:b/>
          <w:bCs/>
          <w:highlight w:val="magenta"/>
        </w:rPr>
        <w:t xml:space="preserve">Recap of </w:t>
      </w:r>
      <w:r w:rsidR="00C4055D" w:rsidRPr="001443E4">
        <w:rPr>
          <w:b/>
          <w:bCs/>
          <w:highlight w:val="magenta"/>
        </w:rPr>
        <w:t>Employee’s Position (Doe)</w:t>
      </w:r>
    </w:p>
    <w:p w14:paraId="58BE7141" w14:textId="7E3A9A37" w:rsidR="008F3EC4" w:rsidRDefault="008F3EC4" w:rsidP="008F3EC4">
      <w:r>
        <w:fldChar w:fldCharType="begin">
          <w:ffData>
            <w:name w:val="Dropdown2"/>
            <w:enabled/>
            <w:calcOnExit w:val="0"/>
            <w:ddList>
              <w:listEntry w:val="View here"/>
              <w:listEntry w:val="&quot;Any competitor/capacity&quot; blocks unrelated work"/>
              <w:listEntry w:val="Restriction exceeds what's needed to protect"/>
              <w:listEntry w:val="Public policy disfavor restraints at competition"/>
            </w:ddList>
          </w:ffData>
        </w:fldChar>
      </w:r>
      <w:bookmarkStart w:id="8" w:name="Dropdown2"/>
      <w:r>
        <w:instrText xml:space="preserve"> FORMDROPDOWN </w:instrText>
      </w:r>
      <w:r>
        <w:fldChar w:fldCharType="separate"/>
      </w:r>
      <w:r>
        <w:fldChar w:fldCharType="end"/>
      </w:r>
      <w:bookmarkEnd w:id="8"/>
    </w:p>
    <w:p w14:paraId="2B64A24E" w14:textId="77777777" w:rsidR="00C4055D" w:rsidRPr="00C4055D" w:rsidRDefault="00C4055D" w:rsidP="00A8723E">
      <w:pPr>
        <w:pStyle w:val="Heading1"/>
      </w:pPr>
      <w:bookmarkStart w:id="9" w:name="_Toc209029401"/>
      <w:r w:rsidRPr="00C4055D">
        <w:t>Conclusion</w:t>
      </w:r>
      <w:bookmarkEnd w:id="9"/>
    </w:p>
    <w:p w14:paraId="320A43FD" w14:textId="12B40AC0" w:rsidR="004803B4" w:rsidRDefault="00C4055D" w:rsidP="00C4055D">
      <w:r w:rsidRPr="00C4055D">
        <w:t>Under Hawai</w:t>
      </w:r>
      <w:r w:rsidRPr="00C4055D">
        <w:rPr>
          <w:rFonts w:ascii="Arial" w:hAnsi="Arial" w:cs="Arial"/>
        </w:rPr>
        <w:t>ʻ</w:t>
      </w:r>
      <w:r w:rsidRPr="00C4055D">
        <w:t xml:space="preserve">i law, the </w:t>
      </w:r>
      <w:r w:rsidRPr="00C4055D">
        <w:rPr>
          <w:b/>
          <w:bCs/>
        </w:rPr>
        <w:t>two-year</w:t>
      </w:r>
      <w:r w:rsidRPr="00C4055D">
        <w:t xml:space="preserve"> duration and </w:t>
      </w:r>
      <w:r w:rsidRPr="00C4055D">
        <w:rPr>
          <w:b/>
          <w:bCs/>
        </w:rPr>
        <w:t>Honolulu County</w:t>
      </w:r>
      <w:r w:rsidRPr="00C4055D">
        <w:t xml:space="preserve"> geography of Doe’s non-compete lean </w:t>
      </w:r>
      <w:r w:rsidRPr="00C4055D">
        <w:rPr>
          <w:b/>
          <w:bCs/>
        </w:rPr>
        <w:t>reasonable</w:t>
      </w:r>
      <w:r w:rsidRPr="00C4055D">
        <w:t xml:space="preserve">. The </w:t>
      </w:r>
      <w:r w:rsidRPr="00C4055D">
        <w:rPr>
          <w:b/>
          <w:bCs/>
        </w:rPr>
        <w:t>“any competitor / any capacity”</w:t>
      </w:r>
      <w:r w:rsidRPr="00C4055D">
        <w:t xml:space="preserve"> wording likely exceeds what is necessary to protect XYZ’s legitimate interests and therefore should be </w:t>
      </w:r>
      <w:r w:rsidRPr="00C4055D">
        <w:rPr>
          <w:b/>
          <w:bCs/>
        </w:rPr>
        <w:t>narrowed</w:t>
      </w:r>
      <w:r w:rsidRPr="00C4055D">
        <w:t xml:space="preserve">. A court is likely to </w:t>
      </w:r>
      <w:r w:rsidRPr="00C4055D">
        <w:rPr>
          <w:b/>
          <w:bCs/>
        </w:rPr>
        <w:t>partially enforce</w:t>
      </w:r>
      <w:r w:rsidRPr="00C4055D">
        <w:t xml:space="preserve"> the restraint by limiting it to roles that risk misuse of </w:t>
      </w:r>
      <w:r w:rsidRPr="00C4055D">
        <w:rPr>
          <w:b/>
          <w:bCs/>
        </w:rPr>
        <w:t>confidential information</w:t>
      </w:r>
      <w:r w:rsidRPr="00C4055D">
        <w:t xml:space="preserve"> or </w:t>
      </w:r>
      <w:r w:rsidRPr="00C4055D">
        <w:rPr>
          <w:b/>
          <w:bCs/>
        </w:rPr>
        <w:t>customer goodwill</w:t>
      </w:r>
      <w:r w:rsidRPr="00C4055D">
        <w:t xml:space="preserve">, or by substituting a targeted </w:t>
      </w:r>
      <w:r w:rsidRPr="00C4055D">
        <w:rPr>
          <w:b/>
          <w:bCs/>
        </w:rPr>
        <w:t>non-solicitation</w:t>
      </w:r>
      <w:r w:rsidRPr="00C4055D">
        <w:t xml:space="preserve">. On balance, </w:t>
      </w:r>
      <w:r w:rsidRPr="00C4055D">
        <w:rPr>
          <w:b/>
          <w:bCs/>
        </w:rPr>
        <w:t>partial enforcement</w:t>
      </w:r>
      <w:r w:rsidRPr="00C4055D">
        <w:t xml:space="preserve">—not wholesale invalidation—is the most probable outcome here. </w:t>
      </w:r>
    </w:p>
    <w:p w14:paraId="3FD52979" w14:textId="77777777" w:rsidR="004803B4" w:rsidRDefault="004803B4" w:rsidP="004803B4">
      <w:pPr>
        <w:pStyle w:val="Heading1"/>
      </w:pPr>
      <w:bookmarkStart w:id="10" w:name="_Toc209029402"/>
      <w:r w:rsidRPr="00C4055D">
        <w:lastRenderedPageBreak/>
        <w:t>Recommendations</w:t>
      </w:r>
      <w:bookmarkEnd w:id="10"/>
      <w:r w:rsidRPr="00C4055D">
        <w:t xml:space="preserve"> </w:t>
      </w:r>
    </w:p>
    <w:p w14:paraId="529E3FBF" w14:textId="384D0771" w:rsidR="004111D1" w:rsidRPr="004111D1" w:rsidRDefault="004111D1" w:rsidP="004111D1">
      <w:r>
        <w:t xml:space="preserve">Recommended </w:t>
      </w:r>
      <w:r w:rsidR="006A03C5">
        <w:t xml:space="preserve">Action (Litigate, Settle, </w:t>
      </w:r>
      <w:proofErr w:type="spellStart"/>
      <w:r w:rsidR="006A03C5">
        <w:t>etc</w:t>
      </w:r>
      <w:proofErr w:type="spellEnd"/>
      <w:r w:rsidR="006A03C5">
        <w:t xml:space="preserve">): </w:t>
      </w:r>
      <w:r>
        <w:fldChar w:fldCharType="begin">
          <w:ffData>
            <w:name w:val="Text1"/>
            <w:enabled/>
            <w:calcOnExit w:val="0"/>
            <w:textInput/>
          </w:ffData>
        </w:fldChar>
      </w:r>
      <w:bookmarkStart w:id="1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14:paraId="6FA4DC26" w14:textId="77777777" w:rsidR="004803B4" w:rsidRPr="00C4055D" w:rsidRDefault="004803B4" w:rsidP="004803B4">
      <w:pPr>
        <w:rPr>
          <w:b/>
          <w:bCs/>
        </w:rPr>
      </w:pPr>
      <w:r w:rsidRPr="00C4055D">
        <w:rPr>
          <w:b/>
          <w:bCs/>
        </w:rPr>
        <w:t>(Client-Facing Next Steps)</w:t>
      </w:r>
    </w:p>
    <w:p w14:paraId="376603D3" w14:textId="4BD61D35" w:rsidR="004803B4" w:rsidRPr="00C4055D" w:rsidRDefault="00C00EB0" w:rsidP="00C00EB0">
      <w:pPr>
        <w:ind w:left="720"/>
      </w:pPr>
      <w:r>
        <w:rPr>
          <w:b/>
          <w:bCs/>
        </w:rPr>
        <w:fldChar w:fldCharType="begin">
          <w:ffData>
            <w:name w:val="Check4"/>
            <w:enabled/>
            <w:calcOnExit w:val="0"/>
            <w:checkBox>
              <w:sizeAuto/>
              <w:default w:val="0"/>
            </w:checkBox>
          </w:ffData>
        </w:fldChar>
      </w:r>
      <w:bookmarkStart w:id="12" w:name="Check4"/>
      <w:r>
        <w:rPr>
          <w:b/>
          <w:bCs/>
        </w:rPr>
        <w:instrText xml:space="preserve"> FORMCHECKBOX </w:instrText>
      </w:r>
      <w:r>
        <w:rPr>
          <w:b/>
          <w:bCs/>
        </w:rPr>
      </w:r>
      <w:r>
        <w:rPr>
          <w:b/>
          <w:bCs/>
        </w:rPr>
        <w:fldChar w:fldCharType="separate"/>
      </w:r>
      <w:r>
        <w:rPr>
          <w:b/>
          <w:bCs/>
        </w:rPr>
        <w:fldChar w:fldCharType="end"/>
      </w:r>
      <w:bookmarkEnd w:id="12"/>
      <w:r>
        <w:rPr>
          <w:b/>
          <w:bCs/>
        </w:rPr>
        <w:t xml:space="preserve"> </w:t>
      </w:r>
      <w:r w:rsidR="004803B4" w:rsidRPr="00C4055D">
        <w:rPr>
          <w:b/>
          <w:bCs/>
        </w:rPr>
        <w:t>Propose a Narrowed Stipulated Injunction:</w:t>
      </w:r>
      <w:r w:rsidR="004803B4" w:rsidRPr="00C4055D">
        <w:t xml:space="preserve"> Limit the restriction to </w:t>
      </w:r>
      <w:r w:rsidR="004803B4" w:rsidRPr="00C4055D">
        <w:rPr>
          <w:b/>
          <w:bCs/>
        </w:rPr>
        <w:t>marketing/BD roles</w:t>
      </w:r>
      <w:r w:rsidR="004803B4" w:rsidRPr="00C4055D">
        <w:t xml:space="preserve"> serving </w:t>
      </w:r>
      <w:r w:rsidR="004803B4" w:rsidRPr="00C4055D">
        <w:rPr>
          <w:b/>
          <w:bCs/>
        </w:rPr>
        <w:t>XYZ’s existing customer segments</w:t>
      </w:r>
      <w:r w:rsidR="004803B4" w:rsidRPr="00C4055D">
        <w:t xml:space="preserve"> and </w:t>
      </w:r>
      <w:r w:rsidR="004803B4" w:rsidRPr="00C4055D">
        <w:rPr>
          <w:b/>
          <w:bCs/>
        </w:rPr>
        <w:t>lines of business</w:t>
      </w:r>
      <w:r w:rsidR="004803B4" w:rsidRPr="00C4055D">
        <w:t xml:space="preserve"> for the </w:t>
      </w:r>
      <w:r w:rsidR="004803B4" w:rsidRPr="00C4055D">
        <w:rPr>
          <w:b/>
          <w:bCs/>
        </w:rPr>
        <w:t>remaining 18 months</w:t>
      </w:r>
      <w:r w:rsidR="004803B4" w:rsidRPr="00C4055D">
        <w:t>.</w:t>
      </w:r>
    </w:p>
    <w:p w14:paraId="5FAD9303" w14:textId="143E218F" w:rsidR="004803B4" w:rsidRPr="00C4055D" w:rsidRDefault="00C00EB0" w:rsidP="00C00EB0">
      <w:pPr>
        <w:ind w:left="720"/>
      </w:pPr>
      <w:r>
        <w:rPr>
          <w:b/>
          <w:bCs/>
        </w:rPr>
        <w:fldChar w:fldCharType="begin">
          <w:ffData>
            <w:name w:val="Check3"/>
            <w:enabled/>
            <w:calcOnExit w:val="0"/>
            <w:checkBox>
              <w:sizeAuto/>
              <w:default w:val="0"/>
            </w:checkBox>
          </w:ffData>
        </w:fldChar>
      </w:r>
      <w:bookmarkStart w:id="13" w:name="Check3"/>
      <w:r>
        <w:rPr>
          <w:b/>
          <w:bCs/>
        </w:rPr>
        <w:instrText xml:space="preserve"> FORMCHECKBOX </w:instrText>
      </w:r>
      <w:r>
        <w:rPr>
          <w:b/>
          <w:bCs/>
        </w:rPr>
      </w:r>
      <w:r>
        <w:rPr>
          <w:b/>
          <w:bCs/>
        </w:rPr>
        <w:fldChar w:fldCharType="separate"/>
      </w:r>
      <w:r>
        <w:rPr>
          <w:b/>
          <w:bCs/>
        </w:rPr>
        <w:fldChar w:fldCharType="end"/>
      </w:r>
      <w:bookmarkEnd w:id="13"/>
      <w:r>
        <w:rPr>
          <w:b/>
          <w:bCs/>
        </w:rPr>
        <w:t xml:space="preserve"> </w:t>
      </w:r>
      <w:r w:rsidR="004803B4" w:rsidRPr="00C4055D">
        <w:rPr>
          <w:b/>
          <w:bCs/>
        </w:rPr>
        <w:t>Strengthen Confidentiality Protections:</w:t>
      </w:r>
      <w:r w:rsidR="004803B4" w:rsidRPr="00C4055D">
        <w:t xml:space="preserve"> Obtain an order requiring deletion/return of </w:t>
      </w:r>
      <w:r w:rsidR="004803B4" w:rsidRPr="00C4055D">
        <w:rPr>
          <w:b/>
          <w:bCs/>
        </w:rPr>
        <w:t>client lists</w:t>
      </w:r>
      <w:r w:rsidR="004803B4" w:rsidRPr="00C4055D">
        <w:t xml:space="preserve">, </w:t>
      </w:r>
      <w:r w:rsidR="004803B4" w:rsidRPr="00C4055D">
        <w:rPr>
          <w:b/>
          <w:bCs/>
        </w:rPr>
        <w:t>pricing models</w:t>
      </w:r>
      <w:r w:rsidR="004803B4" w:rsidRPr="00C4055D">
        <w:t xml:space="preserve">, and </w:t>
      </w:r>
      <w:r w:rsidR="004803B4" w:rsidRPr="00C4055D">
        <w:rPr>
          <w:b/>
          <w:bCs/>
        </w:rPr>
        <w:t>strategy decks</w:t>
      </w:r>
      <w:r w:rsidR="004803B4" w:rsidRPr="00C4055D">
        <w:t>; require periodic certifications.</w:t>
      </w:r>
    </w:p>
    <w:p w14:paraId="20EDC05F" w14:textId="3E722DC9" w:rsidR="004803B4" w:rsidRPr="00C4055D" w:rsidRDefault="00C00EB0" w:rsidP="00C00EB0">
      <w:pPr>
        <w:ind w:left="720"/>
      </w:pPr>
      <w:r>
        <w:rPr>
          <w:b/>
          <w:bCs/>
        </w:rPr>
        <w:fldChar w:fldCharType="begin">
          <w:ffData>
            <w:name w:val="Check2"/>
            <w:enabled/>
            <w:calcOnExit w:val="0"/>
            <w:checkBox>
              <w:sizeAuto/>
              <w:default w:val="0"/>
            </w:checkBox>
          </w:ffData>
        </w:fldChar>
      </w:r>
      <w:bookmarkStart w:id="14" w:name="Check2"/>
      <w:r>
        <w:rPr>
          <w:b/>
          <w:bCs/>
        </w:rPr>
        <w:instrText xml:space="preserve"> FORMCHECKBOX </w:instrText>
      </w:r>
      <w:r>
        <w:rPr>
          <w:b/>
          <w:bCs/>
        </w:rPr>
      </w:r>
      <w:r>
        <w:rPr>
          <w:b/>
          <w:bCs/>
        </w:rPr>
        <w:fldChar w:fldCharType="separate"/>
      </w:r>
      <w:r>
        <w:rPr>
          <w:b/>
          <w:bCs/>
        </w:rPr>
        <w:fldChar w:fldCharType="end"/>
      </w:r>
      <w:bookmarkEnd w:id="14"/>
      <w:r>
        <w:rPr>
          <w:b/>
          <w:bCs/>
        </w:rPr>
        <w:t xml:space="preserve"> </w:t>
      </w:r>
      <w:r w:rsidR="004803B4" w:rsidRPr="00C4055D">
        <w:rPr>
          <w:b/>
          <w:bCs/>
        </w:rPr>
        <w:t>Customer Non-Solicit Only:</w:t>
      </w:r>
      <w:r w:rsidR="004803B4" w:rsidRPr="00C4055D">
        <w:t xml:space="preserve"> If the court balks at a full non-compete, request a </w:t>
      </w:r>
      <w:r w:rsidR="004803B4" w:rsidRPr="00C4055D">
        <w:rPr>
          <w:b/>
          <w:bCs/>
        </w:rPr>
        <w:t>customer non-solicitation</w:t>
      </w:r>
      <w:r w:rsidR="004803B4" w:rsidRPr="00C4055D">
        <w:t xml:space="preserve"> limited to </w:t>
      </w:r>
      <w:r w:rsidR="004803B4" w:rsidRPr="00C4055D">
        <w:rPr>
          <w:b/>
          <w:bCs/>
        </w:rPr>
        <w:t>listed key accounts</w:t>
      </w:r>
      <w:r w:rsidR="004803B4" w:rsidRPr="00C4055D">
        <w:t xml:space="preserve"> for </w:t>
      </w:r>
      <w:r w:rsidR="004803B4" w:rsidRPr="00C4055D">
        <w:rPr>
          <w:b/>
          <w:bCs/>
        </w:rPr>
        <w:t>12–18 months</w:t>
      </w:r>
      <w:r w:rsidR="004803B4" w:rsidRPr="00C4055D">
        <w:t>.</w:t>
      </w:r>
    </w:p>
    <w:p w14:paraId="5BF9ADAA" w14:textId="2FBF5CA2" w:rsidR="004803B4" w:rsidRPr="00C4055D" w:rsidRDefault="00C00EB0" w:rsidP="00C00EB0">
      <w:pPr>
        <w:ind w:left="720"/>
      </w:pPr>
      <w:r>
        <w:rPr>
          <w:b/>
          <w:bCs/>
        </w:rPr>
        <w:fldChar w:fldCharType="begin">
          <w:ffData>
            <w:name w:val="Check1"/>
            <w:enabled/>
            <w:calcOnExit w:val="0"/>
            <w:checkBox>
              <w:sizeAuto/>
              <w:default w:val="0"/>
            </w:checkBox>
          </w:ffData>
        </w:fldChar>
      </w:r>
      <w:bookmarkStart w:id="15" w:name="Check1"/>
      <w:r>
        <w:rPr>
          <w:b/>
          <w:bCs/>
        </w:rPr>
        <w:instrText xml:space="preserve"> FORMCHECKBOX </w:instrText>
      </w:r>
      <w:r>
        <w:rPr>
          <w:b/>
          <w:bCs/>
        </w:rPr>
      </w:r>
      <w:r>
        <w:rPr>
          <w:b/>
          <w:bCs/>
        </w:rPr>
        <w:fldChar w:fldCharType="separate"/>
      </w:r>
      <w:r>
        <w:rPr>
          <w:b/>
          <w:bCs/>
        </w:rPr>
        <w:fldChar w:fldCharType="end"/>
      </w:r>
      <w:bookmarkEnd w:id="15"/>
      <w:r>
        <w:rPr>
          <w:b/>
          <w:bCs/>
        </w:rPr>
        <w:t xml:space="preserve"> </w:t>
      </w:r>
      <w:r w:rsidR="004803B4" w:rsidRPr="00C4055D">
        <w:rPr>
          <w:b/>
          <w:bCs/>
        </w:rPr>
        <w:t>Internal Hygiene:</w:t>
      </w:r>
      <w:r w:rsidR="004803B4" w:rsidRPr="00C4055D">
        <w:t xml:space="preserve"> Audit access logs, narrow confidential-info access, and implement </w:t>
      </w:r>
      <w:r w:rsidR="004803B4" w:rsidRPr="00C4055D">
        <w:rPr>
          <w:b/>
          <w:bCs/>
        </w:rPr>
        <w:t>exit interviews</w:t>
      </w:r>
      <w:r w:rsidR="004803B4" w:rsidRPr="00C4055D">
        <w:t>/reminders to reinforce trade secret policies going forward.</w:t>
      </w:r>
    </w:p>
    <w:bookmarkStart w:id="16" w:name="_Toc209029403" w:displacedByCustomXml="next"/>
    <w:sdt>
      <w:sdtPr>
        <w:id w:val="-1905511402"/>
        <w:docPartObj>
          <w:docPartGallery w:val="Bibliographies"/>
          <w:docPartUnique/>
        </w:docPartObj>
      </w:sdtPr>
      <w:sdtEndPr>
        <w:rPr>
          <w:rFonts w:asciiTheme="minorHAnsi" w:eastAsiaTheme="minorHAnsi" w:hAnsiTheme="minorHAnsi" w:cstheme="minorBidi"/>
          <w:color w:val="auto"/>
          <w:sz w:val="24"/>
          <w:szCs w:val="24"/>
        </w:rPr>
      </w:sdtEndPr>
      <w:sdtContent>
        <w:p w14:paraId="77A26C31" w14:textId="37A4C56D" w:rsidR="00015C78" w:rsidRPr="00015C78" w:rsidRDefault="00015C78">
          <w:pPr>
            <w:pStyle w:val="Heading1"/>
          </w:pPr>
          <w:r w:rsidRPr="00015C78">
            <w:t>References</w:t>
          </w:r>
          <w:bookmarkEnd w:id="16"/>
        </w:p>
        <w:sdt>
          <w:sdtPr>
            <w:id w:val="-573587230"/>
            <w:bibliography/>
          </w:sdtPr>
          <w:sdtContent>
            <w:p w14:paraId="5DBE7969" w14:textId="77777777" w:rsidR="00015C78" w:rsidRDefault="00015C78" w:rsidP="00015C78">
              <w:pPr>
                <w:pStyle w:val="Bibliography"/>
                <w:ind w:left="720" w:hanging="720"/>
                <w:rPr>
                  <w:noProof/>
                  <w:kern w:val="0"/>
                  <w14:ligatures w14:val="none"/>
                </w:rPr>
              </w:pPr>
              <w:r>
                <w:fldChar w:fldCharType="begin"/>
              </w:r>
              <w:r>
                <w:instrText xml:space="preserve"> BIBLIOGRAPHY </w:instrText>
              </w:r>
              <w:r>
                <w:fldChar w:fldCharType="separate"/>
              </w:r>
              <w:r>
                <w:rPr>
                  <w:noProof/>
                </w:rPr>
                <w:t xml:space="preserve">McAdams, J. M. (2019). Non-Compete Agreements: A Review of the Literature. </w:t>
              </w:r>
              <w:r>
                <w:rPr>
                  <w:i/>
                  <w:iCs/>
                  <w:noProof/>
                </w:rPr>
                <w:t>SSRN</w:t>
              </w:r>
              <w:r>
                <w:rPr>
                  <w:noProof/>
                </w:rPr>
                <w:t>, 24.</w:t>
              </w:r>
            </w:p>
            <w:p w14:paraId="6F449180" w14:textId="77777777" w:rsidR="00015C78" w:rsidRDefault="00015C78" w:rsidP="00015C78">
              <w:pPr>
                <w:pStyle w:val="Bibliography"/>
                <w:ind w:left="720" w:hanging="720"/>
                <w:rPr>
                  <w:noProof/>
                </w:rPr>
              </w:pPr>
              <w:r>
                <w:rPr>
                  <w:noProof/>
                </w:rPr>
                <w:t xml:space="preserve">Natarajan Balasubramanian, J. W. (2022). Locked In? The Enforceability of Covenants Not to Compete and the Careers of High-Tech Workers. </w:t>
              </w:r>
              <w:r>
                <w:rPr>
                  <w:i/>
                  <w:iCs/>
                  <w:noProof/>
                </w:rPr>
                <w:t>Journal of Human Resources</w:t>
              </w:r>
              <w:r>
                <w:rPr>
                  <w:noProof/>
                </w:rPr>
                <w:t>, 57.</w:t>
              </w:r>
            </w:p>
            <w:p w14:paraId="2D1D7BE1" w14:textId="0BBEF409" w:rsidR="00015C78" w:rsidRDefault="00015C78" w:rsidP="00015C78">
              <w:r>
                <w:rPr>
                  <w:b/>
                  <w:bCs/>
                  <w:noProof/>
                </w:rPr>
                <w:fldChar w:fldCharType="end"/>
              </w:r>
            </w:p>
          </w:sdtContent>
        </w:sdt>
      </w:sdtContent>
    </w:sdt>
    <w:p w14:paraId="22026F3A" w14:textId="1B932941" w:rsidR="009421BF" w:rsidRDefault="009421BF" w:rsidP="00EF6A7A"/>
    <w:sectPr w:rsidR="009421BF" w:rsidSect="008B05FF">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5125B" w14:textId="77777777" w:rsidR="00F254C2" w:rsidRDefault="00F254C2" w:rsidP="00C4055D">
      <w:pPr>
        <w:spacing w:after="0" w:line="240" w:lineRule="auto"/>
      </w:pPr>
      <w:r>
        <w:separator/>
      </w:r>
    </w:p>
  </w:endnote>
  <w:endnote w:type="continuationSeparator" w:id="0">
    <w:p w14:paraId="67628CE5" w14:textId="77777777" w:rsidR="00F254C2" w:rsidRDefault="00F254C2" w:rsidP="00C40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DD250" w14:textId="77777777" w:rsidR="00771660" w:rsidRDefault="007716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469555"/>
      <w:docPartObj>
        <w:docPartGallery w:val="Page Numbers (Bottom of Page)"/>
        <w:docPartUnique/>
      </w:docPartObj>
    </w:sdtPr>
    <w:sdtEndPr>
      <w:rPr>
        <w:noProof/>
      </w:rPr>
    </w:sdtEndPr>
    <w:sdtContent>
      <w:p w14:paraId="37F76440" w14:textId="02281DA2" w:rsidR="00281B2C" w:rsidRDefault="00281B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06F78F" w14:textId="77777777" w:rsidR="00F55D5D" w:rsidRDefault="00F55D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19EF" w14:textId="77777777" w:rsidR="00771660" w:rsidRDefault="007716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11DAF" w14:textId="77777777" w:rsidR="00F254C2" w:rsidRDefault="00F254C2" w:rsidP="00C4055D">
      <w:pPr>
        <w:spacing w:after="0" w:line="240" w:lineRule="auto"/>
      </w:pPr>
      <w:r>
        <w:separator/>
      </w:r>
    </w:p>
  </w:footnote>
  <w:footnote w:type="continuationSeparator" w:id="0">
    <w:p w14:paraId="46EECF0D" w14:textId="77777777" w:rsidR="00F254C2" w:rsidRDefault="00F254C2" w:rsidP="00C4055D">
      <w:pPr>
        <w:spacing w:after="0" w:line="240" w:lineRule="auto"/>
      </w:pPr>
      <w:r>
        <w:continuationSeparator/>
      </w:r>
    </w:p>
  </w:footnote>
  <w:footnote w:id="1">
    <w:p w14:paraId="177F7F48" w14:textId="54EC2565" w:rsidR="00003C0B" w:rsidRDefault="00003C0B">
      <w:pPr>
        <w:pStyle w:val="FootnoteText"/>
      </w:pPr>
      <w:r>
        <w:rPr>
          <w:rStyle w:val="FootnoteReference"/>
        </w:rPr>
        <w:footnoteRef/>
      </w:r>
      <w:r>
        <w:t xml:space="preserve"> </w:t>
      </w:r>
      <w:r w:rsidRPr="00003C0B">
        <w:t>The FTC adopted a nationwide non-compete rule in 2024; however, its future effect is uncertain due to ongoing legal challenges.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0C33" w14:textId="77777777" w:rsidR="00771660" w:rsidRDefault="007716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F8394" w14:textId="4B91A8D1" w:rsidR="00771660" w:rsidRDefault="007716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612072"/>
      <w:docPartObj>
        <w:docPartGallery w:val="Watermarks"/>
        <w:docPartUnique/>
      </w:docPartObj>
    </w:sdtPr>
    <w:sdtContent>
      <w:p w14:paraId="33584645" w14:textId="405F9AED" w:rsidR="00C4055D" w:rsidRDefault="00615BAF">
        <w:pPr>
          <w:pStyle w:val="Header"/>
        </w:pPr>
        <w:r>
          <w:rPr>
            <w:noProof/>
          </w:rPr>
          <w:pict w14:anchorId="36736A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32"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3DDF"/>
    <w:multiLevelType w:val="multilevel"/>
    <w:tmpl w:val="A6F4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60AC7"/>
    <w:multiLevelType w:val="multilevel"/>
    <w:tmpl w:val="5974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F0A87"/>
    <w:multiLevelType w:val="multilevel"/>
    <w:tmpl w:val="14D0AC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62408"/>
    <w:multiLevelType w:val="multilevel"/>
    <w:tmpl w:val="06AEA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24705"/>
    <w:multiLevelType w:val="multilevel"/>
    <w:tmpl w:val="953A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C491B"/>
    <w:multiLevelType w:val="multilevel"/>
    <w:tmpl w:val="CB9E0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5826C7"/>
    <w:multiLevelType w:val="multilevel"/>
    <w:tmpl w:val="C94A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37BBF"/>
    <w:multiLevelType w:val="multilevel"/>
    <w:tmpl w:val="3D72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02416D"/>
    <w:multiLevelType w:val="multilevel"/>
    <w:tmpl w:val="47E0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202A13"/>
    <w:multiLevelType w:val="multilevel"/>
    <w:tmpl w:val="B2FC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CE4832"/>
    <w:multiLevelType w:val="multilevel"/>
    <w:tmpl w:val="C8D88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436BA8"/>
    <w:multiLevelType w:val="multilevel"/>
    <w:tmpl w:val="C7D25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E901CA"/>
    <w:multiLevelType w:val="multilevel"/>
    <w:tmpl w:val="B704B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4A7F3E"/>
    <w:multiLevelType w:val="multilevel"/>
    <w:tmpl w:val="85B27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137F5"/>
    <w:multiLevelType w:val="multilevel"/>
    <w:tmpl w:val="CD74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117CB2"/>
    <w:multiLevelType w:val="multilevel"/>
    <w:tmpl w:val="F33A8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4D74BF"/>
    <w:multiLevelType w:val="multilevel"/>
    <w:tmpl w:val="48D6B8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674305"/>
    <w:multiLevelType w:val="multilevel"/>
    <w:tmpl w:val="9C4A4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785F79"/>
    <w:multiLevelType w:val="multilevel"/>
    <w:tmpl w:val="C3D42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DD5D14"/>
    <w:multiLevelType w:val="multilevel"/>
    <w:tmpl w:val="24D2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3435BC"/>
    <w:multiLevelType w:val="multilevel"/>
    <w:tmpl w:val="4DC8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0090964">
    <w:abstractNumId w:val="7"/>
  </w:num>
  <w:num w:numId="2" w16cid:durableId="913395624">
    <w:abstractNumId w:val="17"/>
  </w:num>
  <w:num w:numId="3" w16cid:durableId="559249325">
    <w:abstractNumId w:val="11"/>
  </w:num>
  <w:num w:numId="4" w16cid:durableId="204026944">
    <w:abstractNumId w:val="3"/>
  </w:num>
  <w:num w:numId="5" w16cid:durableId="1795443184">
    <w:abstractNumId w:val="12"/>
  </w:num>
  <w:num w:numId="6" w16cid:durableId="552080936">
    <w:abstractNumId w:val="16"/>
  </w:num>
  <w:num w:numId="7" w16cid:durableId="439767182">
    <w:abstractNumId w:val="13"/>
  </w:num>
  <w:num w:numId="8" w16cid:durableId="1624769992">
    <w:abstractNumId w:val="10"/>
  </w:num>
  <w:num w:numId="9" w16cid:durableId="1301612837">
    <w:abstractNumId w:val="20"/>
  </w:num>
  <w:num w:numId="10" w16cid:durableId="1526552758">
    <w:abstractNumId w:val="1"/>
  </w:num>
  <w:num w:numId="11" w16cid:durableId="236668338">
    <w:abstractNumId w:val="2"/>
  </w:num>
  <w:num w:numId="12" w16cid:durableId="1757286910">
    <w:abstractNumId w:val="0"/>
  </w:num>
  <w:num w:numId="13" w16cid:durableId="887032791">
    <w:abstractNumId w:val="19"/>
  </w:num>
  <w:num w:numId="14" w16cid:durableId="1384015733">
    <w:abstractNumId w:val="18"/>
  </w:num>
  <w:num w:numId="15" w16cid:durableId="484052142">
    <w:abstractNumId w:val="15"/>
  </w:num>
  <w:num w:numId="16" w16cid:durableId="1905606393">
    <w:abstractNumId w:val="9"/>
  </w:num>
  <w:num w:numId="17" w16cid:durableId="525022679">
    <w:abstractNumId w:val="6"/>
  </w:num>
  <w:num w:numId="18" w16cid:durableId="485556236">
    <w:abstractNumId w:val="8"/>
  </w:num>
  <w:num w:numId="19" w16cid:durableId="1672171862">
    <w:abstractNumId w:val="4"/>
  </w:num>
  <w:num w:numId="20" w16cid:durableId="677392658">
    <w:abstractNumId w:val="5"/>
  </w:num>
  <w:num w:numId="21" w16cid:durableId="5803332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1BF"/>
    <w:rsid w:val="00003C0B"/>
    <w:rsid w:val="00015C78"/>
    <w:rsid w:val="000509C3"/>
    <w:rsid w:val="00063BAB"/>
    <w:rsid w:val="000D19A6"/>
    <w:rsid w:val="00101178"/>
    <w:rsid w:val="001443E4"/>
    <w:rsid w:val="00150B00"/>
    <w:rsid w:val="00185029"/>
    <w:rsid w:val="001D6C26"/>
    <w:rsid w:val="001F253B"/>
    <w:rsid w:val="002454B0"/>
    <w:rsid w:val="0026280F"/>
    <w:rsid w:val="00281B2C"/>
    <w:rsid w:val="00343BFF"/>
    <w:rsid w:val="003818D3"/>
    <w:rsid w:val="003A1430"/>
    <w:rsid w:val="003D756B"/>
    <w:rsid w:val="004111D1"/>
    <w:rsid w:val="004803B4"/>
    <w:rsid w:val="004D5C59"/>
    <w:rsid w:val="005B3E20"/>
    <w:rsid w:val="005C54EC"/>
    <w:rsid w:val="00615BAF"/>
    <w:rsid w:val="00641959"/>
    <w:rsid w:val="006A03C5"/>
    <w:rsid w:val="00771660"/>
    <w:rsid w:val="007763A7"/>
    <w:rsid w:val="00781CD8"/>
    <w:rsid w:val="007A42C4"/>
    <w:rsid w:val="007B7512"/>
    <w:rsid w:val="008668C8"/>
    <w:rsid w:val="008767A9"/>
    <w:rsid w:val="008B05FF"/>
    <w:rsid w:val="008B11DB"/>
    <w:rsid w:val="008C2019"/>
    <w:rsid w:val="008E3022"/>
    <w:rsid w:val="008F3EC4"/>
    <w:rsid w:val="009421BF"/>
    <w:rsid w:val="00A8723E"/>
    <w:rsid w:val="00AE7C11"/>
    <w:rsid w:val="00C00EB0"/>
    <w:rsid w:val="00C4055D"/>
    <w:rsid w:val="00C73718"/>
    <w:rsid w:val="00CD7EFC"/>
    <w:rsid w:val="00CE00F1"/>
    <w:rsid w:val="00CE3CC7"/>
    <w:rsid w:val="00D04B79"/>
    <w:rsid w:val="00D249DD"/>
    <w:rsid w:val="00D277A6"/>
    <w:rsid w:val="00EB11BC"/>
    <w:rsid w:val="00EF3C8D"/>
    <w:rsid w:val="00EF6A7A"/>
    <w:rsid w:val="00F10042"/>
    <w:rsid w:val="00F128F9"/>
    <w:rsid w:val="00F254C2"/>
    <w:rsid w:val="00F55D5D"/>
    <w:rsid w:val="00F85AC0"/>
    <w:rsid w:val="00FD7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C64263"/>
  <w15:chartTrackingRefBased/>
  <w15:docId w15:val="{63243F1C-C81C-4166-A433-54B45B9E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21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21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21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21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21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21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21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21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21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1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421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21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21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21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21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21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21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21BF"/>
    <w:rPr>
      <w:rFonts w:eastAsiaTheme="majorEastAsia" w:cstheme="majorBidi"/>
      <w:color w:val="272727" w:themeColor="text1" w:themeTint="D8"/>
    </w:rPr>
  </w:style>
  <w:style w:type="paragraph" w:styleId="Title">
    <w:name w:val="Title"/>
    <w:basedOn w:val="Normal"/>
    <w:next w:val="Normal"/>
    <w:link w:val="TitleChar"/>
    <w:uiPriority w:val="10"/>
    <w:qFormat/>
    <w:rsid w:val="009421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1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1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21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21BF"/>
    <w:pPr>
      <w:spacing w:before="160"/>
      <w:jc w:val="center"/>
    </w:pPr>
    <w:rPr>
      <w:i/>
      <w:iCs/>
      <w:color w:val="404040" w:themeColor="text1" w:themeTint="BF"/>
    </w:rPr>
  </w:style>
  <w:style w:type="character" w:customStyle="1" w:styleId="QuoteChar">
    <w:name w:val="Quote Char"/>
    <w:basedOn w:val="DefaultParagraphFont"/>
    <w:link w:val="Quote"/>
    <w:uiPriority w:val="29"/>
    <w:rsid w:val="009421BF"/>
    <w:rPr>
      <w:i/>
      <w:iCs/>
      <w:color w:val="404040" w:themeColor="text1" w:themeTint="BF"/>
    </w:rPr>
  </w:style>
  <w:style w:type="paragraph" w:styleId="ListParagraph">
    <w:name w:val="List Paragraph"/>
    <w:basedOn w:val="Normal"/>
    <w:uiPriority w:val="34"/>
    <w:qFormat/>
    <w:rsid w:val="009421BF"/>
    <w:pPr>
      <w:ind w:left="720"/>
      <w:contextualSpacing/>
    </w:pPr>
  </w:style>
  <w:style w:type="character" w:styleId="IntenseEmphasis">
    <w:name w:val="Intense Emphasis"/>
    <w:basedOn w:val="DefaultParagraphFont"/>
    <w:uiPriority w:val="21"/>
    <w:qFormat/>
    <w:rsid w:val="009421BF"/>
    <w:rPr>
      <w:i/>
      <w:iCs/>
      <w:color w:val="0F4761" w:themeColor="accent1" w:themeShade="BF"/>
    </w:rPr>
  </w:style>
  <w:style w:type="paragraph" w:styleId="IntenseQuote">
    <w:name w:val="Intense Quote"/>
    <w:basedOn w:val="Normal"/>
    <w:next w:val="Normal"/>
    <w:link w:val="IntenseQuoteChar"/>
    <w:uiPriority w:val="30"/>
    <w:qFormat/>
    <w:rsid w:val="009421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21BF"/>
    <w:rPr>
      <w:i/>
      <w:iCs/>
      <w:color w:val="0F4761" w:themeColor="accent1" w:themeShade="BF"/>
    </w:rPr>
  </w:style>
  <w:style w:type="character" w:styleId="IntenseReference">
    <w:name w:val="Intense Reference"/>
    <w:basedOn w:val="DefaultParagraphFont"/>
    <w:uiPriority w:val="32"/>
    <w:qFormat/>
    <w:rsid w:val="009421BF"/>
    <w:rPr>
      <w:b/>
      <w:bCs/>
      <w:smallCaps/>
      <w:color w:val="0F4761" w:themeColor="accent1" w:themeShade="BF"/>
      <w:spacing w:val="5"/>
    </w:rPr>
  </w:style>
  <w:style w:type="character" w:styleId="Hyperlink">
    <w:name w:val="Hyperlink"/>
    <w:basedOn w:val="DefaultParagraphFont"/>
    <w:uiPriority w:val="99"/>
    <w:unhideWhenUsed/>
    <w:rsid w:val="00C4055D"/>
    <w:rPr>
      <w:color w:val="467886" w:themeColor="hyperlink"/>
      <w:u w:val="single"/>
    </w:rPr>
  </w:style>
  <w:style w:type="character" w:styleId="UnresolvedMention">
    <w:name w:val="Unresolved Mention"/>
    <w:basedOn w:val="DefaultParagraphFont"/>
    <w:uiPriority w:val="99"/>
    <w:semiHidden/>
    <w:unhideWhenUsed/>
    <w:rsid w:val="00C4055D"/>
    <w:rPr>
      <w:color w:val="605E5C"/>
      <w:shd w:val="clear" w:color="auto" w:fill="E1DFDD"/>
    </w:rPr>
  </w:style>
  <w:style w:type="paragraph" w:styleId="NoSpacing">
    <w:name w:val="No Spacing"/>
    <w:link w:val="NoSpacingChar"/>
    <w:uiPriority w:val="1"/>
    <w:qFormat/>
    <w:rsid w:val="00C4055D"/>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4055D"/>
    <w:rPr>
      <w:rFonts w:eastAsiaTheme="minorEastAsia"/>
      <w:kern w:val="0"/>
      <w:sz w:val="22"/>
      <w:szCs w:val="22"/>
      <w14:ligatures w14:val="none"/>
    </w:rPr>
  </w:style>
  <w:style w:type="paragraph" w:styleId="Header">
    <w:name w:val="header"/>
    <w:basedOn w:val="Normal"/>
    <w:link w:val="HeaderChar"/>
    <w:uiPriority w:val="99"/>
    <w:unhideWhenUsed/>
    <w:rsid w:val="00C40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55D"/>
  </w:style>
  <w:style w:type="paragraph" w:styleId="Footer">
    <w:name w:val="footer"/>
    <w:basedOn w:val="Normal"/>
    <w:link w:val="FooterChar"/>
    <w:uiPriority w:val="99"/>
    <w:unhideWhenUsed/>
    <w:rsid w:val="00C40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55D"/>
  </w:style>
  <w:style w:type="paragraph" w:styleId="TOCHeading">
    <w:name w:val="TOC Heading"/>
    <w:basedOn w:val="Heading1"/>
    <w:next w:val="Normal"/>
    <w:uiPriority w:val="39"/>
    <w:unhideWhenUsed/>
    <w:qFormat/>
    <w:rsid w:val="00A8723E"/>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F55D5D"/>
    <w:pPr>
      <w:spacing w:after="100"/>
    </w:pPr>
  </w:style>
  <w:style w:type="paragraph" w:styleId="TOC2">
    <w:name w:val="toc 2"/>
    <w:basedOn w:val="Normal"/>
    <w:next w:val="Normal"/>
    <w:autoRedefine/>
    <w:uiPriority w:val="39"/>
    <w:unhideWhenUsed/>
    <w:rsid w:val="00F55D5D"/>
    <w:pPr>
      <w:spacing w:after="100"/>
      <w:ind w:left="240"/>
    </w:pPr>
  </w:style>
  <w:style w:type="table" w:styleId="TableGrid">
    <w:name w:val="Table Grid"/>
    <w:basedOn w:val="TableNormal"/>
    <w:uiPriority w:val="39"/>
    <w:rsid w:val="000D1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D6C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6C26"/>
    <w:rPr>
      <w:sz w:val="20"/>
      <w:szCs w:val="20"/>
    </w:rPr>
  </w:style>
  <w:style w:type="character" w:styleId="FootnoteReference">
    <w:name w:val="footnote reference"/>
    <w:basedOn w:val="DefaultParagraphFont"/>
    <w:uiPriority w:val="99"/>
    <w:semiHidden/>
    <w:unhideWhenUsed/>
    <w:rsid w:val="001D6C26"/>
    <w:rPr>
      <w:vertAlign w:val="superscript"/>
    </w:rPr>
  </w:style>
  <w:style w:type="paragraph" w:styleId="Bibliography">
    <w:name w:val="Bibliography"/>
    <w:basedOn w:val="Normal"/>
    <w:next w:val="Normal"/>
    <w:uiPriority w:val="37"/>
    <w:unhideWhenUsed/>
    <w:rsid w:val="00015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395376">
      <w:bodyDiv w:val="1"/>
      <w:marLeft w:val="0"/>
      <w:marRight w:val="0"/>
      <w:marTop w:val="0"/>
      <w:marBottom w:val="0"/>
      <w:divBdr>
        <w:top w:val="none" w:sz="0" w:space="0" w:color="auto"/>
        <w:left w:val="none" w:sz="0" w:space="0" w:color="auto"/>
        <w:bottom w:val="none" w:sz="0" w:space="0" w:color="auto"/>
        <w:right w:val="none" w:sz="0" w:space="0" w:color="auto"/>
      </w:divBdr>
    </w:div>
    <w:div w:id="1062218576">
      <w:bodyDiv w:val="1"/>
      <w:marLeft w:val="0"/>
      <w:marRight w:val="0"/>
      <w:marTop w:val="0"/>
      <w:marBottom w:val="0"/>
      <w:divBdr>
        <w:top w:val="none" w:sz="0" w:space="0" w:color="auto"/>
        <w:left w:val="none" w:sz="0" w:space="0" w:color="auto"/>
        <w:bottom w:val="none" w:sz="0" w:space="0" w:color="auto"/>
        <w:right w:val="none" w:sz="0" w:space="0" w:color="auto"/>
      </w:divBdr>
    </w:div>
    <w:div w:id="1912159187">
      <w:bodyDiv w:val="1"/>
      <w:marLeft w:val="0"/>
      <w:marRight w:val="0"/>
      <w:marTop w:val="0"/>
      <w:marBottom w:val="0"/>
      <w:divBdr>
        <w:top w:val="none" w:sz="0" w:space="0" w:color="auto"/>
        <w:left w:val="none" w:sz="0" w:space="0" w:color="auto"/>
        <w:bottom w:val="none" w:sz="0" w:space="0" w:color="auto"/>
        <w:right w:val="none" w:sz="0" w:space="0" w:color="auto"/>
      </w:divBdr>
    </w:div>
    <w:div w:id="1990405165">
      <w:bodyDiv w:val="1"/>
      <w:marLeft w:val="0"/>
      <w:marRight w:val="0"/>
      <w:marTop w:val="0"/>
      <w:marBottom w:val="0"/>
      <w:divBdr>
        <w:top w:val="none" w:sz="0" w:space="0" w:color="auto"/>
        <w:left w:val="none" w:sz="0" w:space="0" w:color="auto"/>
        <w:bottom w:val="none" w:sz="0" w:space="0" w:color="auto"/>
        <w:right w:val="none" w:sz="0" w:space="0" w:color="auto"/>
      </w:divBdr>
    </w:div>
    <w:div w:id="1998260352">
      <w:bodyDiv w:val="1"/>
      <w:marLeft w:val="0"/>
      <w:marRight w:val="0"/>
      <w:marTop w:val="0"/>
      <w:marBottom w:val="0"/>
      <w:divBdr>
        <w:top w:val="none" w:sz="0" w:space="0" w:color="auto"/>
        <w:left w:val="none" w:sz="0" w:space="0" w:color="auto"/>
        <w:bottom w:val="none" w:sz="0" w:space="0" w:color="auto"/>
        <w:right w:val="none" w:sz="0" w:space="0" w:color="auto"/>
      </w:divBdr>
    </w:div>
    <w:div w:id="2020764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diagramColors" Target="diagrams/colors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60B585-41AD-4CFA-8DEE-8836ABEDF452}" type="doc">
      <dgm:prSet loTypeId="urn:microsoft.com/office/officeart/2005/8/layout/vProcess5" loCatId="process" qsTypeId="urn:microsoft.com/office/officeart/2005/8/quickstyle/simple1" qsCatId="simple" csTypeId="urn:microsoft.com/office/officeart/2005/8/colors/accent1_5" csCatId="accent1" phldr="1"/>
      <dgm:spPr/>
      <dgm:t>
        <a:bodyPr/>
        <a:lstStyle/>
        <a:p>
          <a:endParaRPr lang="en-US"/>
        </a:p>
      </dgm:t>
    </dgm:pt>
    <dgm:pt modelId="{BB5202AD-9D66-43D0-A72F-FC59A90483A5}">
      <dgm:prSet phldrT="[Text]"/>
      <dgm:spPr/>
      <dgm:t>
        <a:bodyPr/>
        <a:lstStyle/>
        <a:p>
          <a:r>
            <a:rPr lang="en-US"/>
            <a:t>2020 - Hired at XYZ; signed non-compete agreement</a:t>
          </a:r>
        </a:p>
      </dgm:t>
    </dgm:pt>
    <dgm:pt modelId="{E5372271-3E95-441C-84B9-F179A59F5EA1}" type="parTrans" cxnId="{26EA0E1D-DAC3-4162-9774-77EC782AE71E}">
      <dgm:prSet/>
      <dgm:spPr/>
      <dgm:t>
        <a:bodyPr/>
        <a:lstStyle/>
        <a:p>
          <a:endParaRPr lang="en-US"/>
        </a:p>
      </dgm:t>
    </dgm:pt>
    <dgm:pt modelId="{8746EA90-9621-4BD6-8799-6E93E9346689}" type="sibTrans" cxnId="{26EA0E1D-DAC3-4162-9774-77EC782AE71E}">
      <dgm:prSet/>
      <dgm:spPr/>
      <dgm:t>
        <a:bodyPr/>
        <a:lstStyle/>
        <a:p>
          <a:endParaRPr lang="en-US"/>
        </a:p>
      </dgm:t>
    </dgm:pt>
    <dgm:pt modelId="{97A3C3DE-56F3-4D49-87A9-94B9488D3ABB}">
      <dgm:prSet phldrT="[Text]"/>
      <dgm:spPr/>
      <dgm:t>
        <a:bodyPr/>
        <a:lstStyle/>
        <a:p>
          <a:r>
            <a:rPr lang="en-US"/>
            <a:t>2023 - Promoted; gained access to client lists and strategies</a:t>
          </a:r>
        </a:p>
      </dgm:t>
    </dgm:pt>
    <dgm:pt modelId="{F0F6D486-0FA2-47CE-A215-063813B3FE9C}" type="parTrans" cxnId="{06C71C35-FFD4-4AA5-A91B-736B2C7B03E6}">
      <dgm:prSet/>
      <dgm:spPr/>
      <dgm:t>
        <a:bodyPr/>
        <a:lstStyle/>
        <a:p>
          <a:endParaRPr lang="en-US"/>
        </a:p>
      </dgm:t>
    </dgm:pt>
    <dgm:pt modelId="{39744141-89EC-496C-B617-694327758219}" type="sibTrans" cxnId="{06C71C35-FFD4-4AA5-A91B-736B2C7B03E6}">
      <dgm:prSet/>
      <dgm:spPr/>
      <dgm:t>
        <a:bodyPr/>
        <a:lstStyle/>
        <a:p>
          <a:endParaRPr lang="en-US"/>
        </a:p>
      </dgm:t>
    </dgm:pt>
    <dgm:pt modelId="{AC95BC06-28FB-44C1-AF5D-057AD2722334}">
      <dgm:prSet phldrT="[Text]"/>
      <dgm:spPr/>
      <dgm:t>
        <a:bodyPr/>
        <a:lstStyle/>
        <a:p>
          <a:r>
            <a:rPr lang="en-US"/>
            <a:t>June 2024 - Resigned from XYZ</a:t>
          </a:r>
        </a:p>
      </dgm:t>
    </dgm:pt>
    <dgm:pt modelId="{8B76F5E5-522C-4341-8AA7-0872D8C89FF9}" type="parTrans" cxnId="{55FFAE7C-FE81-4351-8F62-7CC5668977F2}">
      <dgm:prSet/>
      <dgm:spPr/>
      <dgm:t>
        <a:bodyPr/>
        <a:lstStyle/>
        <a:p>
          <a:endParaRPr lang="en-US"/>
        </a:p>
      </dgm:t>
    </dgm:pt>
    <dgm:pt modelId="{FEDE3A28-B594-469C-AE90-B21DDC0E01D5}" type="sibTrans" cxnId="{55FFAE7C-FE81-4351-8F62-7CC5668977F2}">
      <dgm:prSet/>
      <dgm:spPr/>
      <dgm:t>
        <a:bodyPr/>
        <a:lstStyle/>
        <a:p>
          <a:endParaRPr lang="en-US"/>
        </a:p>
      </dgm:t>
    </dgm:pt>
    <dgm:pt modelId="{2384B90B-6BD7-4B59-8CB4-BD814B63584F}">
      <dgm:prSet phldrT="[Text]"/>
      <dgm:spPr/>
      <dgm:t>
        <a:bodyPr/>
        <a:lstStyle/>
        <a:p>
          <a:r>
            <a:rPr lang="en-US"/>
            <a:t>July 2024 - Hired at ABC Consulting (competitor)</a:t>
          </a:r>
        </a:p>
      </dgm:t>
    </dgm:pt>
    <dgm:pt modelId="{4894AA5F-E492-425D-97AE-120E76440BEF}" type="parTrans" cxnId="{0B2BF230-28AE-49C5-B8A9-36CC0B795986}">
      <dgm:prSet/>
      <dgm:spPr/>
      <dgm:t>
        <a:bodyPr/>
        <a:lstStyle/>
        <a:p>
          <a:endParaRPr lang="en-US"/>
        </a:p>
      </dgm:t>
    </dgm:pt>
    <dgm:pt modelId="{BCA446DE-ACB7-4531-8CC0-96A15F29F1EB}" type="sibTrans" cxnId="{0B2BF230-28AE-49C5-B8A9-36CC0B795986}">
      <dgm:prSet/>
      <dgm:spPr/>
      <dgm:t>
        <a:bodyPr/>
        <a:lstStyle/>
        <a:p>
          <a:endParaRPr lang="en-US"/>
        </a:p>
      </dgm:t>
    </dgm:pt>
    <dgm:pt modelId="{18162052-94B6-47F9-9CC3-60B382406B7D}">
      <dgm:prSet phldrT="[Text]"/>
      <dgm:spPr/>
      <dgm:t>
        <a:bodyPr/>
        <a:lstStyle/>
        <a:p>
          <a:r>
            <a:rPr lang="en-US"/>
            <a:t>July 2024 - XYZ filed lawsuit to enforce agreement</a:t>
          </a:r>
        </a:p>
      </dgm:t>
    </dgm:pt>
    <dgm:pt modelId="{BDD6A256-E7B0-4005-BFE0-52435DB7A0AE}" type="parTrans" cxnId="{28DBE94E-976C-4523-A881-74DEE7D908AD}">
      <dgm:prSet/>
      <dgm:spPr/>
      <dgm:t>
        <a:bodyPr/>
        <a:lstStyle/>
        <a:p>
          <a:endParaRPr lang="en-US"/>
        </a:p>
      </dgm:t>
    </dgm:pt>
    <dgm:pt modelId="{1F7F832C-D3BD-4CE3-BE55-0880DC35AD35}" type="sibTrans" cxnId="{28DBE94E-976C-4523-A881-74DEE7D908AD}">
      <dgm:prSet/>
      <dgm:spPr/>
      <dgm:t>
        <a:bodyPr/>
        <a:lstStyle/>
        <a:p>
          <a:endParaRPr lang="en-US"/>
        </a:p>
      </dgm:t>
    </dgm:pt>
    <dgm:pt modelId="{CEE33002-E601-442F-9724-D5C67A3E770E}" type="pres">
      <dgm:prSet presAssocID="{0560B585-41AD-4CFA-8DEE-8836ABEDF452}" presName="outerComposite" presStyleCnt="0">
        <dgm:presLayoutVars>
          <dgm:chMax val="5"/>
          <dgm:dir/>
          <dgm:resizeHandles val="exact"/>
        </dgm:presLayoutVars>
      </dgm:prSet>
      <dgm:spPr/>
    </dgm:pt>
    <dgm:pt modelId="{ABDB38C2-AD98-4BBC-99BB-1E08245B9D4D}" type="pres">
      <dgm:prSet presAssocID="{0560B585-41AD-4CFA-8DEE-8836ABEDF452}" presName="dummyMaxCanvas" presStyleCnt="0">
        <dgm:presLayoutVars/>
      </dgm:prSet>
      <dgm:spPr/>
    </dgm:pt>
    <dgm:pt modelId="{BA2C220E-92FC-4DCC-8257-62A7967CCB10}" type="pres">
      <dgm:prSet presAssocID="{0560B585-41AD-4CFA-8DEE-8836ABEDF452}" presName="FiveNodes_1" presStyleLbl="node1" presStyleIdx="0" presStyleCnt="5">
        <dgm:presLayoutVars>
          <dgm:bulletEnabled val="1"/>
        </dgm:presLayoutVars>
      </dgm:prSet>
      <dgm:spPr/>
    </dgm:pt>
    <dgm:pt modelId="{8473E551-4243-44BF-9398-5ACED74F6D77}" type="pres">
      <dgm:prSet presAssocID="{0560B585-41AD-4CFA-8DEE-8836ABEDF452}" presName="FiveNodes_2" presStyleLbl="node1" presStyleIdx="1" presStyleCnt="5">
        <dgm:presLayoutVars>
          <dgm:bulletEnabled val="1"/>
        </dgm:presLayoutVars>
      </dgm:prSet>
      <dgm:spPr/>
    </dgm:pt>
    <dgm:pt modelId="{A7E74739-6934-4CDB-8774-6D5CA84F433C}" type="pres">
      <dgm:prSet presAssocID="{0560B585-41AD-4CFA-8DEE-8836ABEDF452}" presName="FiveNodes_3" presStyleLbl="node1" presStyleIdx="2" presStyleCnt="5">
        <dgm:presLayoutVars>
          <dgm:bulletEnabled val="1"/>
        </dgm:presLayoutVars>
      </dgm:prSet>
      <dgm:spPr/>
    </dgm:pt>
    <dgm:pt modelId="{E03893C6-59BC-4F38-B71A-06CBEB913F47}" type="pres">
      <dgm:prSet presAssocID="{0560B585-41AD-4CFA-8DEE-8836ABEDF452}" presName="FiveNodes_4" presStyleLbl="node1" presStyleIdx="3" presStyleCnt="5">
        <dgm:presLayoutVars>
          <dgm:bulletEnabled val="1"/>
        </dgm:presLayoutVars>
      </dgm:prSet>
      <dgm:spPr/>
    </dgm:pt>
    <dgm:pt modelId="{24C4188D-5A61-437A-A783-286E3E9B8F1E}" type="pres">
      <dgm:prSet presAssocID="{0560B585-41AD-4CFA-8DEE-8836ABEDF452}" presName="FiveNodes_5" presStyleLbl="node1" presStyleIdx="4" presStyleCnt="5">
        <dgm:presLayoutVars>
          <dgm:bulletEnabled val="1"/>
        </dgm:presLayoutVars>
      </dgm:prSet>
      <dgm:spPr/>
    </dgm:pt>
    <dgm:pt modelId="{395DE6EC-A356-483F-9FC7-A423B71CEA0E}" type="pres">
      <dgm:prSet presAssocID="{0560B585-41AD-4CFA-8DEE-8836ABEDF452}" presName="FiveConn_1-2" presStyleLbl="fgAccFollowNode1" presStyleIdx="0" presStyleCnt="4">
        <dgm:presLayoutVars>
          <dgm:bulletEnabled val="1"/>
        </dgm:presLayoutVars>
      </dgm:prSet>
      <dgm:spPr/>
    </dgm:pt>
    <dgm:pt modelId="{5CCC9E8E-A3D0-41B9-89CE-76EA4691A184}" type="pres">
      <dgm:prSet presAssocID="{0560B585-41AD-4CFA-8DEE-8836ABEDF452}" presName="FiveConn_2-3" presStyleLbl="fgAccFollowNode1" presStyleIdx="1" presStyleCnt="4">
        <dgm:presLayoutVars>
          <dgm:bulletEnabled val="1"/>
        </dgm:presLayoutVars>
      </dgm:prSet>
      <dgm:spPr/>
    </dgm:pt>
    <dgm:pt modelId="{AF886269-B016-4588-883B-40B4806BF7E1}" type="pres">
      <dgm:prSet presAssocID="{0560B585-41AD-4CFA-8DEE-8836ABEDF452}" presName="FiveConn_3-4" presStyleLbl="fgAccFollowNode1" presStyleIdx="2" presStyleCnt="4">
        <dgm:presLayoutVars>
          <dgm:bulletEnabled val="1"/>
        </dgm:presLayoutVars>
      </dgm:prSet>
      <dgm:spPr/>
    </dgm:pt>
    <dgm:pt modelId="{089BD6A8-3BD7-4E9D-B962-46BA1FAF0B74}" type="pres">
      <dgm:prSet presAssocID="{0560B585-41AD-4CFA-8DEE-8836ABEDF452}" presName="FiveConn_4-5" presStyleLbl="fgAccFollowNode1" presStyleIdx="3" presStyleCnt="4">
        <dgm:presLayoutVars>
          <dgm:bulletEnabled val="1"/>
        </dgm:presLayoutVars>
      </dgm:prSet>
      <dgm:spPr/>
    </dgm:pt>
    <dgm:pt modelId="{BD942065-D996-4971-B714-29A420A80702}" type="pres">
      <dgm:prSet presAssocID="{0560B585-41AD-4CFA-8DEE-8836ABEDF452}" presName="FiveNodes_1_text" presStyleLbl="node1" presStyleIdx="4" presStyleCnt="5">
        <dgm:presLayoutVars>
          <dgm:bulletEnabled val="1"/>
        </dgm:presLayoutVars>
      </dgm:prSet>
      <dgm:spPr/>
    </dgm:pt>
    <dgm:pt modelId="{25D8CC00-9E88-4FD9-9166-883B8DD787DA}" type="pres">
      <dgm:prSet presAssocID="{0560B585-41AD-4CFA-8DEE-8836ABEDF452}" presName="FiveNodes_2_text" presStyleLbl="node1" presStyleIdx="4" presStyleCnt="5">
        <dgm:presLayoutVars>
          <dgm:bulletEnabled val="1"/>
        </dgm:presLayoutVars>
      </dgm:prSet>
      <dgm:spPr/>
    </dgm:pt>
    <dgm:pt modelId="{A86D0FB4-426B-4595-AA85-92719C7ADFB4}" type="pres">
      <dgm:prSet presAssocID="{0560B585-41AD-4CFA-8DEE-8836ABEDF452}" presName="FiveNodes_3_text" presStyleLbl="node1" presStyleIdx="4" presStyleCnt="5">
        <dgm:presLayoutVars>
          <dgm:bulletEnabled val="1"/>
        </dgm:presLayoutVars>
      </dgm:prSet>
      <dgm:spPr/>
    </dgm:pt>
    <dgm:pt modelId="{79C526B5-FF84-48FD-8A63-74A503B166C5}" type="pres">
      <dgm:prSet presAssocID="{0560B585-41AD-4CFA-8DEE-8836ABEDF452}" presName="FiveNodes_4_text" presStyleLbl="node1" presStyleIdx="4" presStyleCnt="5">
        <dgm:presLayoutVars>
          <dgm:bulletEnabled val="1"/>
        </dgm:presLayoutVars>
      </dgm:prSet>
      <dgm:spPr/>
    </dgm:pt>
    <dgm:pt modelId="{3112BC34-E375-4301-A556-13E71AA47E14}" type="pres">
      <dgm:prSet presAssocID="{0560B585-41AD-4CFA-8DEE-8836ABEDF452}" presName="FiveNodes_5_text" presStyleLbl="node1" presStyleIdx="4" presStyleCnt="5">
        <dgm:presLayoutVars>
          <dgm:bulletEnabled val="1"/>
        </dgm:presLayoutVars>
      </dgm:prSet>
      <dgm:spPr/>
    </dgm:pt>
  </dgm:ptLst>
  <dgm:cxnLst>
    <dgm:cxn modelId="{117EF10C-C0B5-4162-8DA0-EFE4096997F1}" type="presOf" srcId="{39744141-89EC-496C-B617-694327758219}" destId="{5CCC9E8E-A3D0-41B9-89CE-76EA4691A184}" srcOrd="0" destOrd="0" presId="urn:microsoft.com/office/officeart/2005/8/layout/vProcess5"/>
    <dgm:cxn modelId="{D6F50918-8414-4441-B5E0-2B8229C76D37}" type="presOf" srcId="{97A3C3DE-56F3-4D49-87A9-94B9488D3ABB}" destId="{8473E551-4243-44BF-9398-5ACED74F6D77}" srcOrd="0" destOrd="0" presId="urn:microsoft.com/office/officeart/2005/8/layout/vProcess5"/>
    <dgm:cxn modelId="{26EA0E1D-DAC3-4162-9774-77EC782AE71E}" srcId="{0560B585-41AD-4CFA-8DEE-8836ABEDF452}" destId="{BB5202AD-9D66-43D0-A72F-FC59A90483A5}" srcOrd="0" destOrd="0" parTransId="{E5372271-3E95-441C-84B9-F179A59F5EA1}" sibTransId="{8746EA90-9621-4BD6-8799-6E93E9346689}"/>
    <dgm:cxn modelId="{4ABD761D-C8E8-489F-B9EC-B8AAD5CF372A}" type="presOf" srcId="{97A3C3DE-56F3-4D49-87A9-94B9488D3ABB}" destId="{25D8CC00-9E88-4FD9-9166-883B8DD787DA}" srcOrd="1" destOrd="0" presId="urn:microsoft.com/office/officeart/2005/8/layout/vProcess5"/>
    <dgm:cxn modelId="{0B2BF230-28AE-49C5-B8A9-36CC0B795986}" srcId="{0560B585-41AD-4CFA-8DEE-8836ABEDF452}" destId="{2384B90B-6BD7-4B59-8CB4-BD814B63584F}" srcOrd="3" destOrd="0" parTransId="{4894AA5F-E492-425D-97AE-120E76440BEF}" sibTransId="{BCA446DE-ACB7-4531-8CC0-96A15F29F1EB}"/>
    <dgm:cxn modelId="{06C71C35-FFD4-4AA5-A91B-736B2C7B03E6}" srcId="{0560B585-41AD-4CFA-8DEE-8836ABEDF452}" destId="{97A3C3DE-56F3-4D49-87A9-94B9488D3ABB}" srcOrd="1" destOrd="0" parTransId="{F0F6D486-0FA2-47CE-A215-063813B3FE9C}" sibTransId="{39744141-89EC-496C-B617-694327758219}"/>
    <dgm:cxn modelId="{BEA9053E-EDE3-452E-83FA-EE16D7FB2D3A}" type="presOf" srcId="{BB5202AD-9D66-43D0-A72F-FC59A90483A5}" destId="{BD942065-D996-4971-B714-29A420A80702}" srcOrd="1" destOrd="0" presId="urn:microsoft.com/office/officeart/2005/8/layout/vProcess5"/>
    <dgm:cxn modelId="{A734AC49-E38A-4843-A4A9-7CA563749EDA}" type="presOf" srcId="{AC95BC06-28FB-44C1-AF5D-057AD2722334}" destId="{A86D0FB4-426B-4595-AA85-92719C7ADFB4}" srcOrd="1" destOrd="0" presId="urn:microsoft.com/office/officeart/2005/8/layout/vProcess5"/>
    <dgm:cxn modelId="{6D09214D-58DB-4F5B-AF73-1D1EEBF62081}" type="presOf" srcId="{0560B585-41AD-4CFA-8DEE-8836ABEDF452}" destId="{CEE33002-E601-442F-9724-D5C67A3E770E}" srcOrd="0" destOrd="0" presId="urn:microsoft.com/office/officeart/2005/8/layout/vProcess5"/>
    <dgm:cxn modelId="{28DBE94E-976C-4523-A881-74DEE7D908AD}" srcId="{0560B585-41AD-4CFA-8DEE-8836ABEDF452}" destId="{18162052-94B6-47F9-9CC3-60B382406B7D}" srcOrd="4" destOrd="0" parTransId="{BDD6A256-E7B0-4005-BFE0-52435DB7A0AE}" sibTransId="{1F7F832C-D3BD-4CE3-BE55-0880DC35AD35}"/>
    <dgm:cxn modelId="{295D6152-6547-4DCF-A401-9E9027B0033F}" type="presOf" srcId="{FEDE3A28-B594-469C-AE90-B21DDC0E01D5}" destId="{AF886269-B016-4588-883B-40B4806BF7E1}" srcOrd="0" destOrd="0" presId="urn:microsoft.com/office/officeart/2005/8/layout/vProcess5"/>
    <dgm:cxn modelId="{55FFAE7C-FE81-4351-8F62-7CC5668977F2}" srcId="{0560B585-41AD-4CFA-8DEE-8836ABEDF452}" destId="{AC95BC06-28FB-44C1-AF5D-057AD2722334}" srcOrd="2" destOrd="0" parTransId="{8B76F5E5-522C-4341-8AA7-0872D8C89FF9}" sibTransId="{FEDE3A28-B594-469C-AE90-B21DDC0E01D5}"/>
    <dgm:cxn modelId="{91911E8D-1475-4BEC-8F2F-BC71801C7496}" type="presOf" srcId="{BCA446DE-ACB7-4531-8CC0-96A15F29F1EB}" destId="{089BD6A8-3BD7-4E9D-B962-46BA1FAF0B74}" srcOrd="0" destOrd="0" presId="urn:microsoft.com/office/officeart/2005/8/layout/vProcess5"/>
    <dgm:cxn modelId="{75AE2496-AA33-41E1-9CAB-6349EACE79DF}" type="presOf" srcId="{18162052-94B6-47F9-9CC3-60B382406B7D}" destId="{3112BC34-E375-4301-A556-13E71AA47E14}" srcOrd="1" destOrd="0" presId="urn:microsoft.com/office/officeart/2005/8/layout/vProcess5"/>
    <dgm:cxn modelId="{F5134FBC-16D1-4962-A840-FF5C2D9D7F3E}" type="presOf" srcId="{AC95BC06-28FB-44C1-AF5D-057AD2722334}" destId="{A7E74739-6934-4CDB-8774-6D5CA84F433C}" srcOrd="0" destOrd="0" presId="urn:microsoft.com/office/officeart/2005/8/layout/vProcess5"/>
    <dgm:cxn modelId="{2B2527CA-7B7C-4FF9-B6F0-E0778F04E831}" type="presOf" srcId="{BB5202AD-9D66-43D0-A72F-FC59A90483A5}" destId="{BA2C220E-92FC-4DCC-8257-62A7967CCB10}" srcOrd="0" destOrd="0" presId="urn:microsoft.com/office/officeart/2005/8/layout/vProcess5"/>
    <dgm:cxn modelId="{8328BCDB-7749-42C2-9069-3C8C5CDA77F2}" type="presOf" srcId="{2384B90B-6BD7-4B59-8CB4-BD814B63584F}" destId="{E03893C6-59BC-4F38-B71A-06CBEB913F47}" srcOrd="0" destOrd="0" presId="urn:microsoft.com/office/officeart/2005/8/layout/vProcess5"/>
    <dgm:cxn modelId="{B6A38AE5-211D-43DB-BB42-2EBBDBD42F1B}" type="presOf" srcId="{2384B90B-6BD7-4B59-8CB4-BD814B63584F}" destId="{79C526B5-FF84-48FD-8A63-74A503B166C5}" srcOrd="1" destOrd="0" presId="urn:microsoft.com/office/officeart/2005/8/layout/vProcess5"/>
    <dgm:cxn modelId="{8CB960E8-E909-40C7-BD07-ACCB73449F87}" type="presOf" srcId="{18162052-94B6-47F9-9CC3-60B382406B7D}" destId="{24C4188D-5A61-437A-A783-286E3E9B8F1E}" srcOrd="0" destOrd="0" presId="urn:microsoft.com/office/officeart/2005/8/layout/vProcess5"/>
    <dgm:cxn modelId="{9A6E16F5-7B36-45F8-9D02-D27FC3EE2D8A}" type="presOf" srcId="{8746EA90-9621-4BD6-8799-6E93E9346689}" destId="{395DE6EC-A356-483F-9FC7-A423B71CEA0E}" srcOrd="0" destOrd="0" presId="urn:microsoft.com/office/officeart/2005/8/layout/vProcess5"/>
    <dgm:cxn modelId="{0719C5AF-4951-4C15-B1C6-36558398604B}" type="presParOf" srcId="{CEE33002-E601-442F-9724-D5C67A3E770E}" destId="{ABDB38C2-AD98-4BBC-99BB-1E08245B9D4D}" srcOrd="0" destOrd="0" presId="urn:microsoft.com/office/officeart/2005/8/layout/vProcess5"/>
    <dgm:cxn modelId="{6AE86F9B-1A94-483A-8DBC-B0C01CF79B11}" type="presParOf" srcId="{CEE33002-E601-442F-9724-D5C67A3E770E}" destId="{BA2C220E-92FC-4DCC-8257-62A7967CCB10}" srcOrd="1" destOrd="0" presId="urn:microsoft.com/office/officeart/2005/8/layout/vProcess5"/>
    <dgm:cxn modelId="{4C576D1E-AA70-4E45-8556-52302354CDA3}" type="presParOf" srcId="{CEE33002-E601-442F-9724-D5C67A3E770E}" destId="{8473E551-4243-44BF-9398-5ACED74F6D77}" srcOrd="2" destOrd="0" presId="urn:microsoft.com/office/officeart/2005/8/layout/vProcess5"/>
    <dgm:cxn modelId="{E4BC4BB3-DCE0-4C01-A708-4988DA3C1D59}" type="presParOf" srcId="{CEE33002-E601-442F-9724-D5C67A3E770E}" destId="{A7E74739-6934-4CDB-8774-6D5CA84F433C}" srcOrd="3" destOrd="0" presId="urn:microsoft.com/office/officeart/2005/8/layout/vProcess5"/>
    <dgm:cxn modelId="{9BD1A3A1-2441-40C6-B1C7-AB720C018076}" type="presParOf" srcId="{CEE33002-E601-442F-9724-D5C67A3E770E}" destId="{E03893C6-59BC-4F38-B71A-06CBEB913F47}" srcOrd="4" destOrd="0" presId="urn:microsoft.com/office/officeart/2005/8/layout/vProcess5"/>
    <dgm:cxn modelId="{168CEDE4-1D94-487E-9B3A-04B3C4A68134}" type="presParOf" srcId="{CEE33002-E601-442F-9724-D5C67A3E770E}" destId="{24C4188D-5A61-437A-A783-286E3E9B8F1E}" srcOrd="5" destOrd="0" presId="urn:microsoft.com/office/officeart/2005/8/layout/vProcess5"/>
    <dgm:cxn modelId="{DEBC2435-95FF-4F94-B44E-20F6FE1F3E7B}" type="presParOf" srcId="{CEE33002-E601-442F-9724-D5C67A3E770E}" destId="{395DE6EC-A356-483F-9FC7-A423B71CEA0E}" srcOrd="6" destOrd="0" presId="urn:microsoft.com/office/officeart/2005/8/layout/vProcess5"/>
    <dgm:cxn modelId="{2A7F8643-A6E7-41DA-AF09-7D7071C7D1D3}" type="presParOf" srcId="{CEE33002-E601-442F-9724-D5C67A3E770E}" destId="{5CCC9E8E-A3D0-41B9-89CE-76EA4691A184}" srcOrd="7" destOrd="0" presId="urn:microsoft.com/office/officeart/2005/8/layout/vProcess5"/>
    <dgm:cxn modelId="{CDE7A592-9908-4570-A691-5B93938DB7E7}" type="presParOf" srcId="{CEE33002-E601-442F-9724-D5C67A3E770E}" destId="{AF886269-B016-4588-883B-40B4806BF7E1}" srcOrd="8" destOrd="0" presId="urn:microsoft.com/office/officeart/2005/8/layout/vProcess5"/>
    <dgm:cxn modelId="{A1384317-C9B1-409F-B20B-FD1E1790FCBC}" type="presParOf" srcId="{CEE33002-E601-442F-9724-D5C67A3E770E}" destId="{089BD6A8-3BD7-4E9D-B962-46BA1FAF0B74}" srcOrd="9" destOrd="0" presId="urn:microsoft.com/office/officeart/2005/8/layout/vProcess5"/>
    <dgm:cxn modelId="{37726421-99A2-4EEE-9266-FE8B25218AC7}" type="presParOf" srcId="{CEE33002-E601-442F-9724-D5C67A3E770E}" destId="{BD942065-D996-4971-B714-29A420A80702}" srcOrd="10" destOrd="0" presId="urn:microsoft.com/office/officeart/2005/8/layout/vProcess5"/>
    <dgm:cxn modelId="{96335E70-2D59-4930-8282-37469394C919}" type="presParOf" srcId="{CEE33002-E601-442F-9724-D5C67A3E770E}" destId="{25D8CC00-9E88-4FD9-9166-883B8DD787DA}" srcOrd="11" destOrd="0" presId="urn:microsoft.com/office/officeart/2005/8/layout/vProcess5"/>
    <dgm:cxn modelId="{30A67552-8A8B-44D1-A89F-B7C077F09307}" type="presParOf" srcId="{CEE33002-E601-442F-9724-D5C67A3E770E}" destId="{A86D0FB4-426B-4595-AA85-92719C7ADFB4}" srcOrd="12" destOrd="0" presId="urn:microsoft.com/office/officeart/2005/8/layout/vProcess5"/>
    <dgm:cxn modelId="{0C471156-8B49-453B-8142-5E7939E2765B}" type="presParOf" srcId="{CEE33002-E601-442F-9724-D5C67A3E770E}" destId="{79C526B5-FF84-48FD-8A63-74A503B166C5}" srcOrd="13" destOrd="0" presId="urn:microsoft.com/office/officeart/2005/8/layout/vProcess5"/>
    <dgm:cxn modelId="{1B6A768E-2E11-44CB-926F-46F72D66C30C}" type="presParOf" srcId="{CEE33002-E601-442F-9724-D5C67A3E770E}" destId="{3112BC34-E375-4301-A556-13E71AA47E14}" srcOrd="14" destOrd="0" presId="urn:microsoft.com/office/officeart/2005/8/layout/vProcess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2C220E-92FC-4DCC-8257-62A7967CCB10}">
      <dsp:nvSpPr>
        <dsp:cNvPr id="0" name=""/>
        <dsp:cNvSpPr/>
      </dsp:nvSpPr>
      <dsp:spPr>
        <a:xfrm>
          <a:off x="0" y="0"/>
          <a:ext cx="3772738" cy="467715"/>
        </a:xfrm>
        <a:prstGeom prst="roundRect">
          <a:avLst>
            <a:gd name="adj" fmla="val 10000"/>
          </a:avLst>
        </a:prstGeom>
        <a:solidFill>
          <a:schemeClr val="accent1">
            <a:alpha val="9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kern="1200"/>
            <a:t>2020 - Hired at XYZ; signed non-compete agreement</a:t>
          </a:r>
        </a:p>
      </dsp:txBody>
      <dsp:txXfrm>
        <a:off x="13699" y="13699"/>
        <a:ext cx="3213313" cy="440317"/>
      </dsp:txXfrm>
    </dsp:sp>
    <dsp:sp modelId="{8473E551-4243-44BF-9398-5ACED74F6D77}">
      <dsp:nvSpPr>
        <dsp:cNvPr id="0" name=""/>
        <dsp:cNvSpPr/>
      </dsp:nvSpPr>
      <dsp:spPr>
        <a:xfrm>
          <a:off x="281730" y="532676"/>
          <a:ext cx="3772738" cy="467715"/>
        </a:xfrm>
        <a:prstGeom prst="roundRect">
          <a:avLst>
            <a:gd name="adj" fmla="val 10000"/>
          </a:avLst>
        </a:prstGeom>
        <a:solidFill>
          <a:schemeClr val="accent1">
            <a:alpha val="90000"/>
            <a:hueOff val="0"/>
            <a:satOff val="0"/>
            <a:lumOff val="0"/>
            <a:alphaOff val="-1000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kern="1200"/>
            <a:t>2023 - Promoted; gained access to client lists and strategies</a:t>
          </a:r>
        </a:p>
      </dsp:txBody>
      <dsp:txXfrm>
        <a:off x="295429" y="546375"/>
        <a:ext cx="3159594" cy="440317"/>
      </dsp:txXfrm>
    </dsp:sp>
    <dsp:sp modelId="{A7E74739-6934-4CDB-8774-6D5CA84F433C}">
      <dsp:nvSpPr>
        <dsp:cNvPr id="0" name=""/>
        <dsp:cNvSpPr/>
      </dsp:nvSpPr>
      <dsp:spPr>
        <a:xfrm>
          <a:off x="563460" y="1065352"/>
          <a:ext cx="3772738" cy="467715"/>
        </a:xfrm>
        <a:prstGeom prst="roundRect">
          <a:avLst>
            <a:gd name="adj" fmla="val 10000"/>
          </a:avLst>
        </a:prstGeom>
        <a:solidFill>
          <a:schemeClr val="accent1">
            <a:alpha val="90000"/>
            <a:hueOff val="0"/>
            <a:satOff val="0"/>
            <a:lumOff val="0"/>
            <a:alphaOff val="-2000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kern="1200"/>
            <a:t>June 2024 - Resigned from XYZ</a:t>
          </a:r>
        </a:p>
      </dsp:txBody>
      <dsp:txXfrm>
        <a:off x="577159" y="1079051"/>
        <a:ext cx="3159594" cy="440317"/>
      </dsp:txXfrm>
    </dsp:sp>
    <dsp:sp modelId="{E03893C6-59BC-4F38-B71A-06CBEB913F47}">
      <dsp:nvSpPr>
        <dsp:cNvPr id="0" name=""/>
        <dsp:cNvSpPr/>
      </dsp:nvSpPr>
      <dsp:spPr>
        <a:xfrm>
          <a:off x="845191" y="1598028"/>
          <a:ext cx="3772738" cy="467715"/>
        </a:xfrm>
        <a:prstGeom prst="roundRect">
          <a:avLst>
            <a:gd name="adj" fmla="val 10000"/>
          </a:avLst>
        </a:prstGeom>
        <a:solidFill>
          <a:schemeClr val="accent1">
            <a:alpha val="90000"/>
            <a:hueOff val="0"/>
            <a:satOff val="0"/>
            <a:lumOff val="0"/>
            <a:alphaOff val="-3000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kern="1200"/>
            <a:t>July 2024 - Hired at ABC Consulting (competitor)</a:t>
          </a:r>
        </a:p>
      </dsp:txBody>
      <dsp:txXfrm>
        <a:off x="858890" y="1611727"/>
        <a:ext cx="3159594" cy="440317"/>
      </dsp:txXfrm>
    </dsp:sp>
    <dsp:sp modelId="{24C4188D-5A61-437A-A783-286E3E9B8F1E}">
      <dsp:nvSpPr>
        <dsp:cNvPr id="0" name=""/>
        <dsp:cNvSpPr/>
      </dsp:nvSpPr>
      <dsp:spPr>
        <a:xfrm>
          <a:off x="1126921" y="2130704"/>
          <a:ext cx="3772738" cy="467715"/>
        </a:xfrm>
        <a:prstGeom prst="roundRect">
          <a:avLst>
            <a:gd name="adj" fmla="val 10000"/>
          </a:avLst>
        </a:prstGeom>
        <a:solidFill>
          <a:schemeClr val="accent1">
            <a:alpha val="90000"/>
            <a:hueOff val="0"/>
            <a:satOff val="0"/>
            <a:lumOff val="0"/>
            <a:alphaOff val="-4000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kern="1200"/>
            <a:t>July 2024 - XYZ filed lawsuit to enforce agreement</a:t>
          </a:r>
        </a:p>
      </dsp:txBody>
      <dsp:txXfrm>
        <a:off x="1140620" y="2144403"/>
        <a:ext cx="3159594" cy="440317"/>
      </dsp:txXfrm>
    </dsp:sp>
    <dsp:sp modelId="{395DE6EC-A356-483F-9FC7-A423B71CEA0E}">
      <dsp:nvSpPr>
        <dsp:cNvPr id="0" name=""/>
        <dsp:cNvSpPr/>
      </dsp:nvSpPr>
      <dsp:spPr>
        <a:xfrm>
          <a:off x="3468723" y="341692"/>
          <a:ext cx="304015" cy="304015"/>
        </a:xfrm>
        <a:prstGeom prst="downArrow">
          <a:avLst>
            <a:gd name="adj1" fmla="val 55000"/>
            <a:gd name="adj2" fmla="val 45000"/>
          </a:avLst>
        </a:prstGeom>
        <a:solidFill>
          <a:schemeClr val="accent1">
            <a:alpha val="90000"/>
            <a:tint val="40000"/>
            <a:hueOff val="0"/>
            <a:satOff val="0"/>
            <a:lumOff val="0"/>
            <a:alphaOff val="0"/>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endParaRPr lang="en-US" sz="1300" kern="1200"/>
        </a:p>
      </dsp:txBody>
      <dsp:txXfrm>
        <a:off x="3537126" y="341692"/>
        <a:ext cx="167209" cy="228771"/>
      </dsp:txXfrm>
    </dsp:sp>
    <dsp:sp modelId="{5CCC9E8E-A3D0-41B9-89CE-76EA4691A184}">
      <dsp:nvSpPr>
        <dsp:cNvPr id="0" name=""/>
        <dsp:cNvSpPr/>
      </dsp:nvSpPr>
      <dsp:spPr>
        <a:xfrm>
          <a:off x="3750453" y="874368"/>
          <a:ext cx="304015" cy="304015"/>
        </a:xfrm>
        <a:prstGeom prst="downArrow">
          <a:avLst>
            <a:gd name="adj1" fmla="val 55000"/>
            <a:gd name="adj2" fmla="val 45000"/>
          </a:avLst>
        </a:prstGeom>
        <a:solidFill>
          <a:schemeClr val="accent1">
            <a:alpha val="90000"/>
            <a:tint val="40000"/>
            <a:hueOff val="0"/>
            <a:satOff val="0"/>
            <a:lumOff val="0"/>
            <a:alphaOff val="-13333"/>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endParaRPr lang="en-US" sz="1300" kern="1200"/>
        </a:p>
      </dsp:txBody>
      <dsp:txXfrm>
        <a:off x="3818856" y="874368"/>
        <a:ext cx="167209" cy="228771"/>
      </dsp:txXfrm>
    </dsp:sp>
    <dsp:sp modelId="{AF886269-B016-4588-883B-40B4806BF7E1}">
      <dsp:nvSpPr>
        <dsp:cNvPr id="0" name=""/>
        <dsp:cNvSpPr/>
      </dsp:nvSpPr>
      <dsp:spPr>
        <a:xfrm>
          <a:off x="4032183" y="1399249"/>
          <a:ext cx="304015" cy="304015"/>
        </a:xfrm>
        <a:prstGeom prst="downArrow">
          <a:avLst>
            <a:gd name="adj1" fmla="val 55000"/>
            <a:gd name="adj2" fmla="val 45000"/>
          </a:avLst>
        </a:prstGeom>
        <a:solidFill>
          <a:schemeClr val="accent1">
            <a:alpha val="90000"/>
            <a:tint val="40000"/>
            <a:hueOff val="0"/>
            <a:satOff val="0"/>
            <a:lumOff val="0"/>
            <a:alphaOff val="-26667"/>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endParaRPr lang="en-US" sz="1300" kern="1200"/>
        </a:p>
      </dsp:txBody>
      <dsp:txXfrm>
        <a:off x="4100586" y="1399249"/>
        <a:ext cx="167209" cy="228771"/>
      </dsp:txXfrm>
    </dsp:sp>
    <dsp:sp modelId="{089BD6A8-3BD7-4E9D-B962-46BA1FAF0B74}">
      <dsp:nvSpPr>
        <dsp:cNvPr id="0" name=""/>
        <dsp:cNvSpPr/>
      </dsp:nvSpPr>
      <dsp:spPr>
        <a:xfrm>
          <a:off x="4313914" y="1937122"/>
          <a:ext cx="304015" cy="304015"/>
        </a:xfrm>
        <a:prstGeom prst="downArrow">
          <a:avLst>
            <a:gd name="adj1" fmla="val 55000"/>
            <a:gd name="adj2" fmla="val 45000"/>
          </a:avLst>
        </a:prstGeom>
        <a:solidFill>
          <a:schemeClr val="accent1">
            <a:alpha val="90000"/>
            <a:tint val="40000"/>
            <a:hueOff val="0"/>
            <a:satOff val="0"/>
            <a:lumOff val="0"/>
            <a:alphaOff val="-40000"/>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endParaRPr lang="en-US" sz="1300" kern="1200"/>
        </a:p>
      </dsp:txBody>
      <dsp:txXfrm>
        <a:off x="4382317" y="1937122"/>
        <a:ext cx="167209" cy="228771"/>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McA19</b:Tag>
    <b:SourceType>JournalArticle</b:SourceType>
    <b:Guid>{18E84758-95FA-4AF0-A510-2DD90F537A14}</b:Guid>
    <b:Author>
      <b:Author>
        <b:NameList>
          <b:Person>
            <b:Last>McAdams</b:Last>
            <b:First>John</b:First>
            <b:Middle>M.</b:Middle>
          </b:Person>
        </b:NameList>
      </b:Author>
    </b:Author>
    <b:Title>Non-Compete Agreements: A Review of the Literature</b:Title>
    <b:JournalName>SSRN</b:JournalName>
    <b:Year>2019</b:Year>
    <b:Pages>24</b:Pages>
    <b:RefOrder>1</b:RefOrder>
  </b:Source>
  <b:Source>
    <b:Tag>Nat22</b:Tag>
    <b:SourceType>JournalArticle</b:SourceType>
    <b:Guid>{9470EC25-496B-4236-9D90-BE42C12D31A2}</b:Guid>
    <b:Author>
      <b:Author>
        <b:NameList>
          <b:Person>
            <b:Last>Natarajan Balasubramanian</b:Last>
            <b:First>Jin</b:First>
            <b:Middle>Woo Chang, Mariko Sakakibara, Jagadeesh Sivadasan and Evan Starr</b:Middle>
          </b:Person>
        </b:NameList>
      </b:Author>
    </b:Author>
    <b:Title>Locked In? The Enforceability of Covenants Not to Compete and the Careers of High-Tech Workers</b:Title>
    <b:JournalName>Journal of Human Resources</b:JournalName>
    <b:Year>2022</b:Year>
    <b:Pages>57</b:Pages>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18DE8-3138-4EBE-A17B-4E1C4BE6D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8</Pages>
  <Words>1361</Words>
  <Characters>8169</Characters>
  <Application>Microsoft Office Word</Application>
  <DocSecurity>0</DocSecurity>
  <Lines>233</Lines>
  <Paragraphs>86</Paragraphs>
  <ScaleCrop>false</ScaleCrop>
  <HeadingPairs>
    <vt:vector size="2" baseType="variant">
      <vt:variant>
        <vt:lpstr>Title</vt:lpstr>
      </vt:variant>
      <vt:variant>
        <vt:i4>1</vt:i4>
      </vt:variant>
    </vt:vector>
  </HeadingPairs>
  <TitlesOfParts>
    <vt:vector size="1" baseType="lpstr">
      <vt:lpstr>Legal Memorandum</vt:lpstr>
    </vt:vector>
  </TitlesOfParts>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Memorandum</dc:title>
  <dc:subject>Enforceability of Non-compete agreement - XYZ Corp. v. jane doe</dc:subject>
  <dc:creator>Addilyn Goodno</dc:creator>
  <cp:keywords/>
  <dc:description/>
  <cp:lastModifiedBy>Addilyn Goodno</cp:lastModifiedBy>
  <cp:revision>39</cp:revision>
  <dcterms:created xsi:type="dcterms:W3CDTF">2025-09-18T00:32:00Z</dcterms:created>
  <dcterms:modified xsi:type="dcterms:W3CDTF">2025-09-18T02:23:00Z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f8aede70-e23e-4b9f-8a66-911346ddd19b</vt:lpwstr>
  </property>
</Properties>
</file>